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bookmarkStart w:id="0" w:name="_Toc482717189"/>
      <w:bookmarkStart w:id="1" w:name="_Toc483227223"/>
      <w:bookmarkStart w:id="2" w:name="_Toc483400307"/>
      <w:bookmarkStart w:id="3" w:name="_Toc483666358"/>
      <w:bookmarkStart w:id="4" w:name="_Toc484532399"/>
    </w:p>
    <w:p>
      <w:pPr>
        <w:spacing w:after="158" w:afterLines="50"/>
        <w:jc w:val="center"/>
        <w:rPr>
          <w:b/>
          <w:szCs w:val="21"/>
          <w:lang w:eastAsia="zh-CN"/>
        </w:rPr>
      </w:pPr>
      <w:r>
        <w:rPr>
          <w:rFonts w:hint="eastAsia"/>
          <w:b/>
          <w:sz w:val="28"/>
          <w:szCs w:val="28"/>
          <w:lang w:eastAsia="zh-CN"/>
        </w:rPr>
        <w:t>工程技术部SPF楼高压配电设备</w:t>
      </w:r>
      <w:r>
        <w:rPr>
          <w:b/>
          <w:sz w:val="28"/>
          <w:szCs w:val="28"/>
          <w:lang w:eastAsia="zh-CN"/>
        </w:rPr>
        <w:t>用户需求说明（URS</w:t>
      </w:r>
      <w:r>
        <w:rPr>
          <w:b/>
          <w:szCs w:val="21"/>
          <w:lang w:eastAsia="zh-CN"/>
        </w:rPr>
        <w:t>）</w:t>
      </w:r>
      <w:bookmarkEnd w:id="0"/>
      <w:bookmarkEnd w:id="1"/>
      <w:bookmarkEnd w:id="2"/>
      <w:bookmarkEnd w:id="3"/>
      <w:bookmarkEnd w:id="4"/>
    </w:p>
    <w:p>
      <w:pPr>
        <w:tabs>
          <w:tab w:val="left" w:pos="1365"/>
        </w:tabs>
        <w:spacing w:after="158" w:afterLines="50"/>
        <w:rPr>
          <w:b/>
          <w:i/>
          <w:color w:val="4472C4"/>
          <w:szCs w:val="21"/>
          <w:lang w:eastAsia="zh-CN"/>
        </w:rPr>
      </w:pPr>
      <w:bookmarkStart w:id="5" w:name="OLE_LINK4"/>
    </w:p>
    <w:bookmarkEnd w:id="5"/>
    <w:p>
      <w:pPr>
        <w:pStyle w:val="13"/>
        <w:widowControl w:val="0"/>
        <w:spacing w:after="158" w:afterLines="50" w:line="240" w:lineRule="auto"/>
        <w:jc w:val="center"/>
        <w:rPr>
          <w:sz w:val="21"/>
          <w:szCs w:val="21"/>
          <w:lang w:val="zh-CN" w:eastAsia="zh-CN"/>
        </w:rPr>
      </w:pPr>
      <w:r>
        <w:rPr>
          <w:sz w:val="21"/>
          <w:szCs w:val="21"/>
          <w:lang w:val="zh-CN" w:eastAsia="zh-CN"/>
        </w:rPr>
        <w:t xml:space="preserve">目录 </w:t>
      </w:r>
    </w:p>
    <w:p>
      <w:pPr>
        <w:pStyle w:val="7"/>
        <w:rPr>
          <w:b w:val="0"/>
          <w:bCs w:val="0"/>
          <w:caps w:val="0"/>
          <w:szCs w:val="22"/>
        </w:rPr>
      </w:pPr>
      <w:r>
        <w:fldChar w:fldCharType="begin"/>
      </w:r>
      <w:r>
        <w:instrText xml:space="preserve"> TOC \o "1-2" \h \z \u </w:instrText>
      </w:r>
      <w:r>
        <w:fldChar w:fldCharType="separate"/>
      </w:r>
      <w:r>
        <w:fldChar w:fldCharType="begin"/>
      </w:r>
      <w:r>
        <w:instrText xml:space="preserve">HYPERLINK  \l "_Toc522716114" </w:instrText>
      </w:r>
      <w:r>
        <w:fldChar w:fldCharType="separate"/>
      </w:r>
      <w:r>
        <w:rPr>
          <w:rStyle w:val="10"/>
        </w:rPr>
        <w:t>修订历史</w:t>
      </w:r>
      <w:r>
        <w:tab/>
      </w:r>
      <w:r>
        <w:fldChar w:fldCharType="begin"/>
      </w:r>
      <w:r>
        <w:instrText xml:space="preserve"> PAGEREF _Toc522716114 \h </w:instrText>
      </w:r>
      <w:r>
        <w:fldChar w:fldCharType="separate"/>
      </w:r>
      <w:r>
        <w:t>3</w:t>
      </w:r>
      <w:r>
        <w:fldChar w:fldCharType="end"/>
      </w:r>
      <w:r>
        <w:fldChar w:fldCharType="end"/>
      </w:r>
    </w:p>
    <w:p>
      <w:pPr>
        <w:pStyle w:val="7"/>
        <w:rPr>
          <w:b w:val="0"/>
          <w:bCs w:val="0"/>
          <w:caps w:val="0"/>
          <w:szCs w:val="22"/>
        </w:rPr>
      </w:pPr>
      <w:r>
        <w:fldChar w:fldCharType="begin"/>
      </w:r>
      <w:r>
        <w:instrText xml:space="preserve">HYPERLINK  \l "_Toc522716115" </w:instrText>
      </w:r>
      <w:r>
        <w:fldChar w:fldCharType="separate"/>
      </w:r>
      <w:r>
        <w:rPr>
          <w:rStyle w:val="10"/>
        </w:rPr>
        <w:t>1</w:t>
      </w:r>
      <w:r>
        <w:rPr>
          <w:b w:val="0"/>
          <w:bCs w:val="0"/>
          <w:caps w:val="0"/>
          <w:szCs w:val="22"/>
        </w:rPr>
        <w:tab/>
      </w:r>
      <w:r>
        <w:rPr>
          <w:rStyle w:val="10"/>
        </w:rPr>
        <w:t>目的</w:t>
      </w:r>
      <w:r>
        <w:tab/>
      </w:r>
      <w:r>
        <w:fldChar w:fldCharType="begin"/>
      </w:r>
      <w:r>
        <w:instrText xml:space="preserve"> PAGEREF _Toc522716115 \h </w:instrText>
      </w:r>
      <w:r>
        <w:fldChar w:fldCharType="separate"/>
      </w:r>
      <w:r>
        <w:t>4</w:t>
      </w:r>
      <w:r>
        <w:fldChar w:fldCharType="end"/>
      </w:r>
      <w:r>
        <w:fldChar w:fldCharType="end"/>
      </w:r>
    </w:p>
    <w:p>
      <w:pPr>
        <w:pStyle w:val="7"/>
        <w:rPr>
          <w:b w:val="0"/>
          <w:bCs w:val="0"/>
          <w:caps w:val="0"/>
          <w:szCs w:val="22"/>
        </w:rPr>
      </w:pPr>
      <w:r>
        <w:fldChar w:fldCharType="begin"/>
      </w:r>
      <w:r>
        <w:instrText xml:space="preserve">HYPERLINK  \l "_Toc522716116" </w:instrText>
      </w:r>
      <w:r>
        <w:fldChar w:fldCharType="separate"/>
      </w:r>
      <w:r>
        <w:rPr>
          <w:rStyle w:val="10"/>
        </w:rPr>
        <w:t>2</w:t>
      </w:r>
      <w:r>
        <w:rPr>
          <w:b w:val="0"/>
          <w:bCs w:val="0"/>
          <w:caps w:val="0"/>
          <w:szCs w:val="22"/>
        </w:rPr>
        <w:tab/>
      </w:r>
      <w:r>
        <w:rPr>
          <w:rStyle w:val="10"/>
        </w:rPr>
        <w:t>范围</w:t>
      </w:r>
      <w:r>
        <w:tab/>
      </w:r>
      <w:r>
        <w:fldChar w:fldCharType="begin"/>
      </w:r>
      <w:r>
        <w:instrText xml:space="preserve"> PAGEREF _Toc522716116 \h </w:instrText>
      </w:r>
      <w:r>
        <w:fldChar w:fldCharType="separate"/>
      </w:r>
      <w:r>
        <w:t>4</w:t>
      </w:r>
      <w:r>
        <w:fldChar w:fldCharType="end"/>
      </w:r>
      <w:r>
        <w:fldChar w:fldCharType="end"/>
      </w:r>
    </w:p>
    <w:p>
      <w:pPr>
        <w:pStyle w:val="7"/>
        <w:rPr>
          <w:b w:val="0"/>
          <w:bCs w:val="0"/>
          <w:caps w:val="0"/>
          <w:szCs w:val="22"/>
        </w:rPr>
      </w:pPr>
      <w:r>
        <w:fldChar w:fldCharType="begin"/>
      </w:r>
      <w:r>
        <w:instrText xml:space="preserve">HYPERLINK  \l "_Toc522716117" </w:instrText>
      </w:r>
      <w:r>
        <w:fldChar w:fldCharType="separate"/>
      </w:r>
      <w:r>
        <w:rPr>
          <w:rStyle w:val="10"/>
        </w:rPr>
        <w:t>3</w:t>
      </w:r>
      <w:r>
        <w:rPr>
          <w:b w:val="0"/>
          <w:bCs w:val="0"/>
          <w:caps w:val="0"/>
          <w:szCs w:val="22"/>
        </w:rPr>
        <w:tab/>
      </w:r>
      <w:r>
        <w:rPr>
          <w:rStyle w:val="10"/>
        </w:rPr>
        <w:t>参考文件</w:t>
      </w:r>
      <w:r>
        <w:tab/>
      </w:r>
      <w:r>
        <w:fldChar w:fldCharType="begin"/>
      </w:r>
      <w:r>
        <w:instrText xml:space="preserve"> PAGEREF _Toc522716117 \h </w:instrText>
      </w:r>
      <w:r>
        <w:fldChar w:fldCharType="separate"/>
      </w:r>
      <w:r>
        <w:t>4</w:t>
      </w:r>
      <w:r>
        <w:fldChar w:fldCharType="end"/>
      </w:r>
      <w:r>
        <w:fldChar w:fldCharType="end"/>
      </w:r>
    </w:p>
    <w:p>
      <w:pPr>
        <w:pStyle w:val="7"/>
        <w:rPr>
          <w:b w:val="0"/>
          <w:bCs w:val="0"/>
          <w:caps w:val="0"/>
          <w:szCs w:val="22"/>
        </w:rPr>
      </w:pPr>
      <w:r>
        <w:fldChar w:fldCharType="begin"/>
      </w:r>
      <w:r>
        <w:instrText xml:space="preserve">HYPERLINK  \l "_Toc522716118" </w:instrText>
      </w:r>
      <w:r>
        <w:fldChar w:fldCharType="separate"/>
      </w:r>
      <w:r>
        <w:rPr>
          <w:rStyle w:val="10"/>
        </w:rPr>
        <w:t>4</w:t>
      </w:r>
      <w:r>
        <w:rPr>
          <w:b w:val="0"/>
          <w:bCs w:val="0"/>
          <w:caps w:val="0"/>
          <w:szCs w:val="22"/>
        </w:rPr>
        <w:tab/>
      </w:r>
      <w:r>
        <w:rPr>
          <w:rStyle w:val="10"/>
        </w:rPr>
        <w:t>职责</w:t>
      </w:r>
      <w:r>
        <w:tab/>
      </w:r>
      <w:r>
        <w:fldChar w:fldCharType="begin"/>
      </w:r>
      <w:r>
        <w:instrText xml:space="preserve"> PAGEREF _Toc522716118 \h </w:instrText>
      </w:r>
      <w:r>
        <w:fldChar w:fldCharType="separate"/>
      </w:r>
      <w:r>
        <w:t>4</w:t>
      </w:r>
      <w:r>
        <w:fldChar w:fldCharType="end"/>
      </w:r>
      <w:r>
        <w:fldChar w:fldCharType="end"/>
      </w:r>
    </w:p>
    <w:p>
      <w:pPr>
        <w:pStyle w:val="7"/>
        <w:rPr>
          <w:b w:val="0"/>
          <w:bCs w:val="0"/>
          <w:caps w:val="0"/>
          <w:szCs w:val="22"/>
        </w:rPr>
      </w:pPr>
      <w:r>
        <w:fldChar w:fldCharType="begin"/>
      </w:r>
      <w:r>
        <w:instrText xml:space="preserve">HYPERLINK  \l "_Toc522716119" </w:instrText>
      </w:r>
      <w:r>
        <w:fldChar w:fldCharType="separate"/>
      </w:r>
      <w:r>
        <w:rPr>
          <w:rStyle w:val="10"/>
        </w:rPr>
        <w:t>5</w:t>
      </w:r>
      <w:r>
        <w:rPr>
          <w:b w:val="0"/>
          <w:bCs w:val="0"/>
          <w:caps w:val="0"/>
          <w:szCs w:val="22"/>
        </w:rPr>
        <w:tab/>
      </w:r>
      <w:r>
        <w:rPr>
          <w:rStyle w:val="10"/>
        </w:rPr>
        <w:t>系统描述</w:t>
      </w:r>
      <w:r>
        <w:tab/>
      </w:r>
      <w:r>
        <w:fldChar w:fldCharType="begin"/>
      </w:r>
      <w:r>
        <w:instrText xml:space="preserve"> PAGEREF _Toc522716119 \h </w:instrText>
      </w:r>
      <w:r>
        <w:fldChar w:fldCharType="separate"/>
      </w:r>
      <w:r>
        <w:t>5</w:t>
      </w:r>
      <w:r>
        <w:fldChar w:fldCharType="end"/>
      </w:r>
      <w:r>
        <w:fldChar w:fldCharType="end"/>
      </w:r>
    </w:p>
    <w:p>
      <w:pPr>
        <w:pStyle w:val="7"/>
        <w:rPr>
          <w:b w:val="0"/>
          <w:bCs w:val="0"/>
          <w:caps w:val="0"/>
          <w:szCs w:val="22"/>
        </w:rPr>
      </w:pPr>
      <w:r>
        <w:fldChar w:fldCharType="begin"/>
      </w:r>
      <w:r>
        <w:instrText xml:space="preserve">HYPERLINK  \l "_Toc522716120" </w:instrText>
      </w:r>
      <w:r>
        <w:fldChar w:fldCharType="separate"/>
      </w:r>
      <w:r>
        <w:rPr>
          <w:rStyle w:val="10"/>
        </w:rPr>
        <w:t>6</w:t>
      </w:r>
      <w:r>
        <w:rPr>
          <w:b w:val="0"/>
          <w:bCs w:val="0"/>
          <w:caps w:val="0"/>
          <w:szCs w:val="22"/>
        </w:rPr>
        <w:tab/>
      </w:r>
      <w:r>
        <w:rPr>
          <w:rStyle w:val="10"/>
        </w:rPr>
        <w:t>安装要求</w:t>
      </w:r>
      <w:r>
        <w:tab/>
      </w:r>
      <w:r>
        <w:fldChar w:fldCharType="begin"/>
      </w:r>
      <w:r>
        <w:instrText xml:space="preserve"> PAGEREF _Toc522716120 \h </w:instrText>
      </w:r>
      <w:r>
        <w:fldChar w:fldCharType="separate"/>
      </w:r>
      <w:r>
        <w:t>5</w:t>
      </w:r>
      <w:r>
        <w:fldChar w:fldCharType="end"/>
      </w:r>
      <w:r>
        <w:fldChar w:fldCharType="end"/>
      </w:r>
    </w:p>
    <w:p>
      <w:pPr>
        <w:pStyle w:val="7"/>
        <w:rPr>
          <w:b w:val="0"/>
          <w:bCs w:val="0"/>
          <w:caps w:val="0"/>
          <w:szCs w:val="22"/>
        </w:rPr>
      </w:pPr>
      <w:r>
        <w:fldChar w:fldCharType="begin"/>
      </w:r>
      <w:r>
        <w:instrText xml:space="preserve">HYPERLINK  \l "_Toc522716121" </w:instrText>
      </w:r>
      <w:r>
        <w:fldChar w:fldCharType="separate"/>
      </w:r>
      <w:r>
        <w:rPr>
          <w:rStyle w:val="10"/>
        </w:rPr>
        <w:t>7</w:t>
      </w:r>
      <w:r>
        <w:rPr>
          <w:b w:val="0"/>
          <w:bCs w:val="0"/>
          <w:caps w:val="0"/>
          <w:szCs w:val="22"/>
        </w:rPr>
        <w:tab/>
      </w:r>
      <w:r>
        <w:rPr>
          <w:rStyle w:val="10"/>
        </w:rPr>
        <w:t>运行要求</w:t>
      </w:r>
      <w:r>
        <w:tab/>
      </w:r>
      <w:r>
        <w:fldChar w:fldCharType="begin"/>
      </w:r>
      <w:r>
        <w:instrText xml:space="preserve"> PAGEREF _Toc522716121 \h </w:instrText>
      </w:r>
      <w:r>
        <w:fldChar w:fldCharType="separate"/>
      </w:r>
      <w:r>
        <w:t>6</w:t>
      </w:r>
      <w:r>
        <w:fldChar w:fldCharType="end"/>
      </w:r>
      <w:r>
        <w:fldChar w:fldCharType="end"/>
      </w:r>
    </w:p>
    <w:p>
      <w:pPr>
        <w:pStyle w:val="7"/>
        <w:rPr>
          <w:b w:val="0"/>
          <w:bCs w:val="0"/>
          <w:caps w:val="0"/>
          <w:szCs w:val="22"/>
        </w:rPr>
      </w:pPr>
      <w:r>
        <w:fldChar w:fldCharType="begin"/>
      </w:r>
      <w:r>
        <w:instrText xml:space="preserve">HYPERLINK  \l "_Toc522716122" </w:instrText>
      </w:r>
      <w:r>
        <w:fldChar w:fldCharType="separate"/>
      </w:r>
      <w:r>
        <w:rPr>
          <w:rStyle w:val="10"/>
        </w:rPr>
        <w:t>8</w:t>
      </w:r>
      <w:r>
        <w:rPr>
          <w:b w:val="0"/>
          <w:bCs w:val="0"/>
          <w:caps w:val="0"/>
          <w:szCs w:val="22"/>
        </w:rPr>
        <w:tab/>
      </w:r>
      <w:r>
        <w:rPr>
          <w:rStyle w:val="10"/>
        </w:rPr>
        <w:t>电气、自动控制要求</w:t>
      </w:r>
      <w:r>
        <w:tab/>
      </w:r>
      <w:r>
        <w:fldChar w:fldCharType="begin"/>
      </w:r>
      <w:r>
        <w:instrText xml:space="preserve"> PAGEREF _Toc522716122 \h </w:instrText>
      </w:r>
      <w:r>
        <w:fldChar w:fldCharType="separate"/>
      </w:r>
      <w:r>
        <w:t>7</w:t>
      </w:r>
      <w:r>
        <w:fldChar w:fldCharType="end"/>
      </w:r>
      <w:r>
        <w:fldChar w:fldCharType="end"/>
      </w:r>
    </w:p>
    <w:p>
      <w:pPr>
        <w:pStyle w:val="7"/>
        <w:rPr>
          <w:b w:val="0"/>
          <w:bCs w:val="0"/>
          <w:caps w:val="0"/>
          <w:szCs w:val="22"/>
        </w:rPr>
      </w:pPr>
      <w:r>
        <w:fldChar w:fldCharType="begin"/>
      </w:r>
      <w:r>
        <w:instrText xml:space="preserve">HYPERLINK  \l "_Toc522716123" </w:instrText>
      </w:r>
      <w:r>
        <w:fldChar w:fldCharType="separate"/>
      </w:r>
      <w:r>
        <w:rPr>
          <w:rStyle w:val="10"/>
        </w:rPr>
        <w:t>9</w:t>
      </w:r>
      <w:r>
        <w:rPr>
          <w:b w:val="0"/>
          <w:bCs w:val="0"/>
          <w:caps w:val="0"/>
          <w:szCs w:val="22"/>
        </w:rPr>
        <w:tab/>
      </w:r>
      <w:r>
        <w:rPr>
          <w:rStyle w:val="10"/>
        </w:rPr>
        <w:t>安全要求</w:t>
      </w:r>
      <w:r>
        <w:tab/>
      </w:r>
      <w:r>
        <w:fldChar w:fldCharType="begin"/>
      </w:r>
      <w:r>
        <w:instrText xml:space="preserve"> PAGEREF _Toc522716123 \h </w:instrText>
      </w:r>
      <w:r>
        <w:fldChar w:fldCharType="separate"/>
      </w:r>
      <w:r>
        <w:t>9</w:t>
      </w:r>
      <w:r>
        <w:fldChar w:fldCharType="end"/>
      </w:r>
      <w:r>
        <w:fldChar w:fldCharType="end"/>
      </w:r>
    </w:p>
    <w:p>
      <w:pPr>
        <w:pStyle w:val="7"/>
        <w:rPr>
          <w:b w:val="0"/>
          <w:bCs w:val="0"/>
          <w:caps w:val="0"/>
          <w:szCs w:val="22"/>
        </w:rPr>
      </w:pPr>
      <w:r>
        <w:fldChar w:fldCharType="begin"/>
      </w:r>
      <w:r>
        <w:instrText xml:space="preserve">HYPERLINK  \l "_Toc522716124" </w:instrText>
      </w:r>
      <w:r>
        <w:fldChar w:fldCharType="separate"/>
      </w:r>
      <w:r>
        <w:rPr>
          <w:rStyle w:val="10"/>
        </w:rPr>
        <w:t>10</w:t>
      </w:r>
      <w:r>
        <w:rPr>
          <w:b w:val="0"/>
          <w:bCs w:val="0"/>
          <w:caps w:val="0"/>
          <w:szCs w:val="22"/>
        </w:rPr>
        <w:tab/>
      </w:r>
      <w:r>
        <w:rPr>
          <w:rStyle w:val="10"/>
        </w:rPr>
        <w:t>文件要求</w:t>
      </w:r>
      <w:r>
        <w:tab/>
      </w:r>
      <w:r>
        <w:fldChar w:fldCharType="begin"/>
      </w:r>
      <w:r>
        <w:instrText xml:space="preserve"> PAGEREF _Toc522716124 \h </w:instrText>
      </w:r>
      <w:r>
        <w:fldChar w:fldCharType="separate"/>
      </w:r>
      <w:r>
        <w:t>9</w:t>
      </w:r>
      <w:r>
        <w:fldChar w:fldCharType="end"/>
      </w:r>
      <w:r>
        <w:fldChar w:fldCharType="end"/>
      </w:r>
    </w:p>
    <w:p>
      <w:pPr>
        <w:pStyle w:val="7"/>
        <w:rPr>
          <w:b w:val="0"/>
          <w:bCs w:val="0"/>
          <w:caps w:val="0"/>
          <w:szCs w:val="22"/>
        </w:rPr>
      </w:pPr>
      <w:r>
        <w:fldChar w:fldCharType="begin"/>
      </w:r>
      <w:r>
        <w:instrText xml:space="preserve">HYPERLINK  \l "_Toc522716125" </w:instrText>
      </w:r>
      <w:r>
        <w:fldChar w:fldCharType="separate"/>
      </w:r>
      <w:r>
        <w:rPr>
          <w:rStyle w:val="10"/>
        </w:rPr>
        <w:t>11</w:t>
      </w:r>
      <w:r>
        <w:rPr>
          <w:b w:val="0"/>
          <w:bCs w:val="0"/>
          <w:caps w:val="0"/>
          <w:szCs w:val="22"/>
        </w:rPr>
        <w:tab/>
      </w:r>
      <w:r>
        <w:rPr>
          <w:rStyle w:val="10"/>
        </w:rPr>
        <w:t>服务要求</w:t>
      </w:r>
      <w:r>
        <w:tab/>
      </w:r>
      <w:r>
        <w:fldChar w:fldCharType="begin"/>
      </w:r>
      <w:r>
        <w:instrText xml:space="preserve"> PAGEREF _Toc522716125 \h </w:instrText>
      </w:r>
      <w:r>
        <w:fldChar w:fldCharType="separate"/>
      </w:r>
      <w:r>
        <w:t>9</w:t>
      </w:r>
      <w:r>
        <w:fldChar w:fldCharType="end"/>
      </w:r>
      <w:r>
        <w:fldChar w:fldCharType="end"/>
      </w:r>
    </w:p>
    <w:p>
      <w:pPr>
        <w:pStyle w:val="7"/>
        <w:rPr>
          <w:b w:val="0"/>
          <w:bCs w:val="0"/>
          <w:caps w:val="0"/>
          <w:szCs w:val="22"/>
        </w:rPr>
      </w:pPr>
      <w:r>
        <w:fldChar w:fldCharType="begin"/>
      </w:r>
      <w:r>
        <w:instrText xml:space="preserve">HYPERLINK  \l "_Toc522716126" </w:instrText>
      </w:r>
      <w:r>
        <w:fldChar w:fldCharType="separate"/>
      </w:r>
      <w:r>
        <w:rPr>
          <w:rStyle w:val="10"/>
        </w:rPr>
        <w:t>12</w:t>
      </w:r>
      <w:r>
        <w:rPr>
          <w:b w:val="0"/>
          <w:bCs w:val="0"/>
          <w:caps w:val="0"/>
          <w:szCs w:val="22"/>
        </w:rPr>
        <w:tab/>
      </w:r>
      <w:r>
        <w:rPr>
          <w:rStyle w:val="10"/>
        </w:rPr>
        <w:t>附件</w:t>
      </w:r>
      <w:r>
        <w:tab/>
      </w:r>
      <w:r>
        <w:fldChar w:fldCharType="begin"/>
      </w:r>
      <w:r>
        <w:instrText xml:space="preserve"> PAGEREF _Toc522716126 \h </w:instrText>
      </w:r>
      <w:r>
        <w:fldChar w:fldCharType="separate"/>
      </w:r>
      <w:r>
        <w:t>10</w:t>
      </w:r>
      <w:r>
        <w:fldChar w:fldCharType="end"/>
      </w:r>
      <w:r>
        <w:fldChar w:fldCharType="end"/>
      </w:r>
    </w:p>
    <w:p>
      <w:r>
        <w:fldChar w:fldCharType="end"/>
      </w:r>
    </w:p>
    <w:p>
      <w:pPr>
        <w:rPr>
          <w:lang w:val="en-US" w:eastAsia="zh-CN"/>
        </w:rPr>
      </w:pPr>
      <w:bookmarkStart w:id="6" w:name="_Toc522107734"/>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bookmarkEnd w:id="6"/>
    <w:p>
      <w:pPr>
        <w:pStyle w:val="12"/>
        <w:numPr>
          <w:ilvl w:val="0"/>
          <w:numId w:val="1"/>
        </w:numPr>
        <w:spacing w:after="158" w:afterLines="50"/>
        <w:ind w:left="426" w:hanging="426" w:hangingChars="202"/>
        <w:outlineLvl w:val="0"/>
        <w:rPr>
          <w:rFonts w:ascii="Times New Roman" w:hAnsi="Times New Roman"/>
          <w:b/>
        </w:rPr>
      </w:pPr>
      <w:bookmarkStart w:id="7" w:name="_Toc522107735"/>
      <w:bookmarkStart w:id="8" w:name="_Toc522716115"/>
      <w:r>
        <w:rPr>
          <w:rFonts w:ascii="Times New Roman" w:hAnsi="Times New Roman"/>
          <w:b/>
        </w:rPr>
        <w:t>目的</w:t>
      </w:r>
      <w:bookmarkEnd w:id="7"/>
      <w:bookmarkEnd w:id="8"/>
    </w:p>
    <w:p>
      <w:pPr>
        <w:pStyle w:val="14"/>
        <w:spacing w:before="0" w:line="360" w:lineRule="auto"/>
        <w:ind w:left="357"/>
        <w:jc w:val="left"/>
        <w:rPr>
          <w:szCs w:val="21"/>
          <w:lang w:eastAsia="zh-CN"/>
        </w:rPr>
      </w:pPr>
      <w:bookmarkStart w:id="9" w:name="_Toc481702475"/>
      <w:bookmarkStart w:id="10" w:name="_Toc482359936"/>
      <w:bookmarkStart w:id="11" w:name="_Toc482360281"/>
      <w:bookmarkStart w:id="12" w:name="_Toc482369805"/>
      <w:bookmarkStart w:id="13" w:name="_Toc482370061"/>
      <w:bookmarkStart w:id="14" w:name="_Toc482370141"/>
      <w:bookmarkStart w:id="15" w:name="_Toc482370349"/>
      <w:bookmarkStart w:id="16" w:name="_Toc482370757"/>
      <w:bookmarkStart w:id="17" w:name="_Toc482625279"/>
      <w:r>
        <w:rPr>
          <w:szCs w:val="21"/>
          <w:lang w:eastAsia="zh-CN"/>
        </w:rPr>
        <w:t>本文件的目的是描述武汉生物制品研究所有限责任公司</w:t>
      </w:r>
      <w:r>
        <w:rPr>
          <w:rFonts w:hint="eastAsia"/>
          <w:szCs w:val="21"/>
          <w:lang w:eastAsia="zh-CN"/>
        </w:rPr>
        <w:t>SPF楼高压配电设备</w:t>
      </w:r>
      <w:r>
        <w:rPr>
          <w:szCs w:val="21"/>
          <w:lang w:eastAsia="zh-CN"/>
        </w:rPr>
        <w:t>的用户需求说明（URS），以确保最终用户的需求在项目设计阶段得以实现，并作为后续验证工作的基础。</w:t>
      </w:r>
    </w:p>
    <w:p>
      <w:pPr>
        <w:pStyle w:val="14"/>
        <w:spacing w:before="0"/>
        <w:ind w:left="360"/>
        <w:rPr>
          <w:szCs w:val="21"/>
          <w:lang w:eastAsia="zh-CN"/>
        </w:rPr>
      </w:pPr>
    </w:p>
    <w:p>
      <w:pPr>
        <w:pStyle w:val="12"/>
        <w:numPr>
          <w:ilvl w:val="0"/>
          <w:numId w:val="1"/>
        </w:numPr>
        <w:spacing w:after="158" w:afterLines="50"/>
        <w:ind w:left="426" w:hanging="426" w:hangingChars="202"/>
        <w:outlineLvl w:val="0"/>
        <w:rPr>
          <w:rFonts w:ascii="Times New Roman" w:hAnsi="Times New Roman"/>
          <w:b/>
        </w:rPr>
      </w:pPr>
      <w:bookmarkStart w:id="18" w:name="_Toc522107736"/>
      <w:bookmarkStart w:id="19" w:name="_Toc522716116"/>
      <w:r>
        <w:rPr>
          <w:rFonts w:ascii="Times New Roman" w:hAnsi="Times New Roman"/>
          <w:b/>
        </w:rPr>
        <w:t>范围</w:t>
      </w:r>
      <w:bookmarkEnd w:id="18"/>
      <w:bookmarkEnd w:id="19"/>
    </w:p>
    <w:p>
      <w:pPr>
        <w:pStyle w:val="14"/>
        <w:spacing w:before="0" w:line="360" w:lineRule="auto"/>
        <w:ind w:left="357"/>
        <w:jc w:val="left"/>
        <w:rPr>
          <w:szCs w:val="21"/>
          <w:lang w:eastAsia="zh-CN"/>
        </w:rPr>
      </w:pPr>
      <w:r>
        <w:rPr>
          <w:szCs w:val="21"/>
          <w:lang w:eastAsia="zh-CN"/>
        </w:rPr>
        <w:t>本URS适用于武汉生物制品研究所有限责任公司</w:t>
      </w:r>
      <w:r>
        <w:rPr>
          <w:rFonts w:hint="eastAsia"/>
          <w:szCs w:val="21"/>
          <w:lang w:eastAsia="zh-CN"/>
        </w:rPr>
        <w:t>SPF楼高压配电设备</w:t>
      </w:r>
      <w:r>
        <w:rPr>
          <w:szCs w:val="21"/>
          <w:lang w:eastAsia="zh-CN"/>
        </w:rPr>
        <w:t>。</w:t>
      </w:r>
      <w:bookmarkEnd w:id="9"/>
      <w:bookmarkEnd w:id="10"/>
      <w:bookmarkEnd w:id="11"/>
      <w:bookmarkEnd w:id="12"/>
      <w:bookmarkEnd w:id="13"/>
      <w:bookmarkEnd w:id="14"/>
      <w:bookmarkEnd w:id="15"/>
      <w:bookmarkEnd w:id="16"/>
      <w:bookmarkEnd w:id="17"/>
    </w:p>
    <w:p>
      <w:pPr>
        <w:pStyle w:val="14"/>
        <w:spacing w:before="0" w:line="360" w:lineRule="auto"/>
        <w:ind w:left="357"/>
        <w:jc w:val="left"/>
        <w:rPr>
          <w:szCs w:val="21"/>
          <w:lang w:eastAsia="zh-CN"/>
        </w:rPr>
      </w:pPr>
    </w:p>
    <w:p>
      <w:pPr>
        <w:pStyle w:val="12"/>
        <w:numPr>
          <w:ilvl w:val="0"/>
          <w:numId w:val="1"/>
        </w:numPr>
        <w:spacing w:after="158" w:afterLines="50"/>
        <w:ind w:left="426" w:hanging="426" w:hangingChars="202"/>
        <w:outlineLvl w:val="0"/>
        <w:rPr>
          <w:rFonts w:ascii="Times New Roman" w:hAnsi="Times New Roman"/>
          <w:b/>
        </w:rPr>
      </w:pPr>
      <w:bookmarkStart w:id="20" w:name="_Toc522107737"/>
      <w:bookmarkStart w:id="21" w:name="_Toc522716117"/>
      <w:bookmarkStart w:id="49" w:name="_GoBack"/>
      <w:r>
        <w:rPr>
          <w:rFonts w:ascii="Times New Roman" w:hAnsi="Times New Roman"/>
          <w:b/>
        </w:rPr>
        <w:t>参考文件</w:t>
      </w:r>
      <w:bookmarkEnd w:id="20"/>
      <w:bookmarkEnd w:id="21"/>
    </w:p>
    <w:p>
      <w:pPr>
        <w:pStyle w:val="14"/>
        <w:numPr>
          <w:ilvl w:val="0"/>
          <w:numId w:val="2"/>
        </w:numPr>
        <w:spacing w:before="0" w:line="360" w:lineRule="auto"/>
        <w:jc w:val="left"/>
        <w:rPr>
          <w:color w:val="000000"/>
          <w:szCs w:val="21"/>
          <w:lang w:eastAsia="zh-CN"/>
        </w:rPr>
      </w:pPr>
      <w:r>
        <w:rPr>
          <w:color w:val="000000"/>
          <w:szCs w:val="21"/>
          <w:lang w:eastAsia="zh-CN"/>
        </w:rPr>
        <w:t>GMP法规指南和SOP</w:t>
      </w:r>
    </w:p>
    <w:bookmarkEnd w:id="49"/>
    <w:p>
      <w:pPr>
        <w:pStyle w:val="14"/>
        <w:numPr>
          <w:ilvl w:val="0"/>
          <w:numId w:val="3"/>
        </w:numPr>
        <w:spacing w:before="0" w:line="360" w:lineRule="auto"/>
        <w:ind w:left="777"/>
        <w:jc w:val="left"/>
        <w:rPr>
          <w:color w:val="4472C4"/>
          <w:szCs w:val="21"/>
          <w:lang w:eastAsia="zh-CN"/>
        </w:rPr>
      </w:pPr>
      <w:r>
        <w:rPr>
          <w:color w:val="000000"/>
          <w:szCs w:val="21"/>
          <w:lang w:eastAsia="zh-CN"/>
        </w:rPr>
        <w:t>SOP-06-12-0005 用户需求编写审批SOP</w:t>
      </w:r>
    </w:p>
    <w:p>
      <w:pPr>
        <w:pStyle w:val="14"/>
        <w:numPr>
          <w:ilvl w:val="0"/>
          <w:numId w:val="2"/>
        </w:numPr>
        <w:spacing w:before="0" w:line="360" w:lineRule="auto"/>
        <w:jc w:val="left"/>
        <w:rPr>
          <w:color w:val="000000"/>
          <w:szCs w:val="21"/>
          <w:lang w:eastAsia="zh-CN"/>
        </w:rPr>
      </w:pPr>
      <w:r>
        <w:rPr>
          <w:color w:val="000000"/>
          <w:szCs w:val="21"/>
          <w:lang w:eastAsia="zh-CN"/>
        </w:rPr>
        <w:t>安全及环保法规指南</w:t>
      </w:r>
    </w:p>
    <w:p>
      <w:pPr>
        <w:pStyle w:val="14"/>
        <w:numPr>
          <w:ilvl w:val="0"/>
          <w:numId w:val="3"/>
        </w:numPr>
        <w:spacing w:before="0" w:line="360" w:lineRule="auto"/>
        <w:ind w:left="777"/>
        <w:jc w:val="left"/>
        <w:rPr>
          <w:color w:val="000000"/>
          <w:szCs w:val="21"/>
          <w:lang w:eastAsia="zh-CN"/>
        </w:rPr>
      </w:pPr>
      <w:r>
        <w:rPr>
          <w:rFonts w:hint="eastAsia"/>
          <w:color w:val="000000"/>
          <w:szCs w:val="21"/>
          <w:lang w:eastAsia="zh-CN"/>
        </w:rPr>
        <w:t>《供配电系统设计规范》</w:t>
      </w:r>
      <w:r>
        <w:rPr>
          <w:color w:val="000000"/>
          <w:szCs w:val="21"/>
          <w:lang w:eastAsia="zh-CN"/>
        </w:rPr>
        <w:t xml:space="preserve">GB50052-2009IEC726         </w:t>
      </w:r>
    </w:p>
    <w:p>
      <w:pPr>
        <w:pStyle w:val="14"/>
        <w:numPr>
          <w:ilvl w:val="0"/>
          <w:numId w:val="3"/>
        </w:numPr>
        <w:spacing w:before="0" w:line="360" w:lineRule="auto"/>
        <w:ind w:left="777"/>
        <w:jc w:val="left"/>
        <w:rPr>
          <w:color w:val="000000"/>
          <w:szCs w:val="21"/>
          <w:lang w:eastAsia="zh-CN"/>
        </w:rPr>
      </w:pPr>
      <w:r>
        <w:rPr>
          <w:rFonts w:hint="eastAsia"/>
          <w:color w:val="000000"/>
          <w:szCs w:val="21"/>
          <w:lang w:eastAsia="zh-CN"/>
        </w:rPr>
        <w:t>《工业与民用电力装置的接地设计规范》</w:t>
      </w:r>
      <w:r>
        <w:rPr>
          <w:color w:val="000000"/>
          <w:szCs w:val="21"/>
          <w:lang w:eastAsia="zh-CN"/>
        </w:rPr>
        <w:t xml:space="preserve">GBJ65-83GB2900         </w:t>
      </w:r>
    </w:p>
    <w:p>
      <w:pPr>
        <w:pStyle w:val="14"/>
        <w:numPr>
          <w:ilvl w:val="0"/>
          <w:numId w:val="3"/>
        </w:numPr>
        <w:spacing w:before="0" w:line="360" w:lineRule="auto"/>
        <w:ind w:left="777"/>
        <w:jc w:val="left"/>
        <w:rPr>
          <w:color w:val="000000"/>
          <w:szCs w:val="21"/>
          <w:lang w:eastAsia="zh-CN"/>
        </w:rPr>
      </w:pPr>
      <w:r>
        <w:rPr>
          <w:rFonts w:hint="eastAsia"/>
          <w:color w:val="000000"/>
          <w:szCs w:val="21"/>
          <w:lang w:eastAsia="zh-CN"/>
        </w:rPr>
        <w:t>《建筑物防雷设计规范》</w:t>
      </w:r>
      <w:r>
        <w:rPr>
          <w:color w:val="000000"/>
          <w:szCs w:val="21"/>
          <w:lang w:eastAsia="zh-CN"/>
        </w:rPr>
        <w:t>GB50057-2010</w:t>
      </w:r>
    </w:p>
    <w:p>
      <w:pPr>
        <w:pStyle w:val="14"/>
        <w:numPr>
          <w:ilvl w:val="0"/>
          <w:numId w:val="3"/>
        </w:numPr>
        <w:spacing w:before="0" w:line="360" w:lineRule="auto"/>
        <w:ind w:left="777"/>
        <w:jc w:val="left"/>
        <w:rPr>
          <w:color w:val="000000"/>
          <w:szCs w:val="21"/>
          <w:lang w:eastAsia="zh-CN"/>
        </w:rPr>
      </w:pPr>
      <w:r>
        <w:rPr>
          <w:rFonts w:hint="eastAsia"/>
          <w:color w:val="000000"/>
          <w:szCs w:val="21"/>
          <w:lang w:eastAsia="zh-CN"/>
        </w:rPr>
        <w:t>《电力装置的电测量仪表装置设计规范》</w:t>
      </w:r>
      <w:r>
        <w:rPr>
          <w:color w:val="000000"/>
          <w:szCs w:val="21"/>
          <w:lang w:eastAsia="zh-CN"/>
        </w:rPr>
        <w:t>GB/T50063-2008</w:t>
      </w:r>
    </w:p>
    <w:p>
      <w:pPr>
        <w:pStyle w:val="14"/>
        <w:numPr>
          <w:ilvl w:val="0"/>
          <w:numId w:val="3"/>
        </w:numPr>
        <w:spacing w:before="0" w:line="360" w:lineRule="auto"/>
        <w:ind w:left="777"/>
        <w:jc w:val="left"/>
        <w:rPr>
          <w:color w:val="000000"/>
          <w:szCs w:val="21"/>
          <w:lang w:eastAsia="zh-CN"/>
        </w:rPr>
      </w:pPr>
      <w:r>
        <w:rPr>
          <w:rFonts w:hint="eastAsia"/>
          <w:color w:val="000000"/>
          <w:szCs w:val="21"/>
          <w:lang w:eastAsia="zh-CN"/>
        </w:rPr>
        <w:t>《</w:t>
      </w:r>
      <w:r>
        <w:rPr>
          <w:color w:val="000000"/>
          <w:szCs w:val="21"/>
          <w:lang w:eastAsia="zh-CN"/>
        </w:rPr>
        <w:t>10KV</w:t>
      </w:r>
      <w:r>
        <w:rPr>
          <w:rFonts w:hint="eastAsia"/>
          <w:color w:val="000000"/>
          <w:szCs w:val="21"/>
          <w:lang w:eastAsia="zh-CN"/>
        </w:rPr>
        <w:t>及以下变电所设计规范》</w:t>
      </w:r>
      <w:r>
        <w:rPr>
          <w:color w:val="000000"/>
          <w:szCs w:val="21"/>
          <w:lang w:eastAsia="zh-CN"/>
        </w:rPr>
        <w:t>GB50053-94</w:t>
      </w:r>
    </w:p>
    <w:p>
      <w:pPr>
        <w:pStyle w:val="14"/>
        <w:numPr>
          <w:ilvl w:val="0"/>
          <w:numId w:val="3"/>
        </w:numPr>
        <w:spacing w:before="0" w:line="360" w:lineRule="auto"/>
        <w:ind w:left="777"/>
        <w:jc w:val="left"/>
        <w:rPr>
          <w:color w:val="000000"/>
          <w:szCs w:val="21"/>
          <w:lang w:eastAsia="zh-CN"/>
        </w:rPr>
      </w:pPr>
      <w:r>
        <w:rPr>
          <w:rFonts w:hint="eastAsia"/>
          <w:color w:val="000000"/>
          <w:szCs w:val="21"/>
          <w:lang w:eastAsia="zh-CN"/>
        </w:rPr>
        <w:t>《</w:t>
      </w:r>
      <w:r>
        <w:rPr>
          <w:color w:val="000000"/>
          <w:szCs w:val="21"/>
          <w:lang w:eastAsia="zh-CN"/>
        </w:rPr>
        <w:t>3.6kV</w:t>
      </w:r>
      <w:r>
        <w:rPr>
          <w:rFonts w:hint="eastAsia"/>
          <w:color w:val="000000"/>
          <w:szCs w:val="21"/>
          <w:lang w:eastAsia="zh-CN"/>
        </w:rPr>
        <w:t>～</w:t>
      </w:r>
      <w:r>
        <w:rPr>
          <w:color w:val="000000"/>
          <w:szCs w:val="21"/>
          <w:lang w:eastAsia="zh-CN"/>
        </w:rPr>
        <w:t xml:space="preserve">40.5kV </w:t>
      </w:r>
      <w:r>
        <w:rPr>
          <w:rFonts w:hint="eastAsia"/>
          <w:color w:val="000000"/>
          <w:szCs w:val="21"/>
          <w:lang w:eastAsia="zh-CN"/>
        </w:rPr>
        <w:t>交流金属封闭开关和控制设备》</w:t>
      </w:r>
      <w:r>
        <w:rPr>
          <w:color w:val="000000"/>
          <w:szCs w:val="21"/>
          <w:lang w:eastAsia="zh-CN"/>
        </w:rPr>
        <w:t>GB3906-2006</w:t>
      </w:r>
      <w:r>
        <w:rPr>
          <w:rFonts w:hint="eastAsia"/>
          <w:color w:val="000000"/>
          <w:szCs w:val="21"/>
          <w:lang w:eastAsia="zh-CN"/>
        </w:rPr>
        <w:t>；</w:t>
      </w:r>
    </w:p>
    <w:p>
      <w:pPr>
        <w:pStyle w:val="14"/>
        <w:spacing w:before="0" w:line="360" w:lineRule="auto"/>
        <w:ind w:left="357"/>
        <w:jc w:val="left"/>
        <w:rPr>
          <w:i/>
          <w:szCs w:val="21"/>
          <w:lang w:eastAsia="zh-CN"/>
        </w:rPr>
      </w:pPr>
    </w:p>
    <w:p>
      <w:pPr>
        <w:pStyle w:val="12"/>
        <w:numPr>
          <w:ilvl w:val="0"/>
          <w:numId w:val="1"/>
        </w:numPr>
        <w:spacing w:after="158" w:afterLines="50"/>
        <w:ind w:left="426" w:hanging="426" w:hangingChars="202"/>
        <w:outlineLvl w:val="0"/>
        <w:rPr>
          <w:rFonts w:ascii="Times New Roman" w:hAnsi="Times New Roman"/>
          <w:b/>
        </w:rPr>
      </w:pPr>
      <w:bookmarkStart w:id="22" w:name="_Toc522107739"/>
      <w:bookmarkStart w:id="23" w:name="_Toc522716119"/>
      <w:r>
        <w:rPr>
          <w:rFonts w:ascii="Times New Roman" w:hAnsi="Times New Roman"/>
          <w:b/>
        </w:rPr>
        <w:t>系统描述</w:t>
      </w:r>
      <w:bookmarkEnd w:id="22"/>
      <w:bookmarkEnd w:id="23"/>
    </w:p>
    <w:p>
      <w:pPr>
        <w:pStyle w:val="14"/>
        <w:spacing w:before="0" w:line="360" w:lineRule="auto"/>
        <w:ind w:left="357"/>
        <w:jc w:val="left"/>
        <w:rPr>
          <w:i/>
          <w:color w:val="4472C4"/>
          <w:szCs w:val="21"/>
          <w:lang w:eastAsia="zh-CN"/>
        </w:rPr>
      </w:pPr>
      <w:r>
        <w:rPr>
          <w:rFonts w:hint="eastAsia"/>
          <w:szCs w:val="21"/>
          <w:lang w:eastAsia="zh-CN"/>
        </w:rPr>
        <w:t>所购SPF楼配电设备将用于全所变电站及配电间的设备运行</w:t>
      </w:r>
      <w:r>
        <w:rPr>
          <w:szCs w:val="21"/>
          <w:lang w:eastAsia="zh-CN"/>
        </w:rPr>
        <w:t>。</w:t>
      </w:r>
    </w:p>
    <w:p>
      <w:pPr>
        <w:pStyle w:val="12"/>
        <w:numPr>
          <w:ilvl w:val="0"/>
          <w:numId w:val="1"/>
        </w:numPr>
        <w:spacing w:after="158" w:afterLines="50"/>
        <w:ind w:left="426" w:hanging="426" w:hangingChars="202"/>
        <w:outlineLvl w:val="0"/>
        <w:rPr>
          <w:rFonts w:ascii="Times New Roman" w:hAnsi="Times New Roman"/>
          <w:b/>
          <w:szCs w:val="21"/>
        </w:rPr>
      </w:pPr>
      <w:bookmarkStart w:id="24" w:name="_Toc522716120"/>
      <w:r>
        <w:rPr>
          <w:rFonts w:ascii="Times New Roman" w:hAnsi="Times New Roman"/>
          <w:b/>
          <w:szCs w:val="21"/>
        </w:rPr>
        <w:t>安装要求</w:t>
      </w:r>
      <w:bookmarkEnd w:id="24"/>
    </w:p>
    <w:p>
      <w:pPr>
        <w:pStyle w:val="12"/>
        <w:spacing w:after="158" w:afterLines="50"/>
        <w:ind w:left="425" w:firstLine="0" w:firstLineChars="0"/>
        <w:rPr>
          <w:rFonts w:ascii="Times New Roman" w:hAnsi="Times New Roman"/>
          <w:szCs w:val="21"/>
        </w:rPr>
      </w:pPr>
    </w:p>
    <w:tbl>
      <w:tblPr>
        <w:tblStyle w:val="11"/>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tblHeader/>
          <w:jc w:val="center"/>
        </w:trPr>
        <w:tc>
          <w:tcPr>
            <w:tcW w:w="1310" w:type="dxa"/>
            <w:shd w:val="clear" w:color="auto" w:fill="D9D9D9"/>
            <w:vAlign w:val="center"/>
          </w:tcPr>
          <w:p>
            <w:pPr>
              <w:jc w:val="center"/>
              <w:rPr>
                <w:b/>
                <w:szCs w:val="21"/>
              </w:rPr>
            </w:pPr>
            <w:bookmarkStart w:id="25" w:name="OLE_LINK1"/>
            <w:bookmarkStart w:id="26" w:name="OLE_LINK2"/>
            <w:r>
              <w:rPr>
                <w:b/>
                <w:szCs w:val="21"/>
              </w:rPr>
              <w:t>编号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4"/>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 xml:space="preserve"> 安装位置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SPF楼配电室内。</w:t>
            </w:r>
          </w:p>
        </w:tc>
        <w:tc>
          <w:tcPr>
            <w:tcW w:w="2125" w:type="dxa"/>
            <w:vAlign w:val="center"/>
          </w:tcPr>
          <w:p>
            <w:pPr>
              <w:jc w:val="both"/>
              <w:rPr>
                <w:szCs w:val="21"/>
                <w:lang w:eastAsia="zh-CN"/>
              </w:rPr>
            </w:pPr>
            <w:r>
              <w:rPr>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4"/>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安装尺寸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szCs w:val="21"/>
                <w:lang w:eastAsia="zh-CN"/>
              </w:rPr>
              <w:t>设备的形式尺寸应符合制造商说明书及技术文件规定的要求。</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4"/>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承重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1094"/>
              <w:rPr>
                <w:szCs w:val="21"/>
              </w:rPr>
            </w:pPr>
          </w:p>
        </w:tc>
        <w:tc>
          <w:tcPr>
            <w:tcW w:w="9253" w:type="dxa"/>
            <w:gridSpan w:val="2"/>
            <w:vAlign w:val="center"/>
          </w:tcPr>
          <w:p>
            <w:pPr>
              <w:jc w:val="both"/>
              <w:rPr>
                <w:szCs w:val="21"/>
                <w:lang w:eastAsia="zh-CN"/>
              </w:rPr>
            </w:pPr>
            <w:r>
              <w:rPr>
                <w:szCs w:val="21"/>
                <w:lang w:eastAsia="zh-CN"/>
              </w:rPr>
              <w:t>N</w:t>
            </w:r>
            <w:r>
              <w:rPr>
                <w:rFonts w:hint="eastAsia"/>
                <w:szCs w:val="21"/>
                <w:lang w:eastAsia="zh-CN"/>
              </w:rPr>
              <w:t>/</w:t>
            </w:r>
            <w:r>
              <w:rPr>
                <w:szCs w:val="21"/>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4"/>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可用的公用系统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1094"/>
              <w:rPr>
                <w:szCs w:val="21"/>
              </w:rPr>
            </w:pPr>
          </w:p>
        </w:tc>
        <w:tc>
          <w:tcPr>
            <w:tcW w:w="9253" w:type="dxa"/>
            <w:gridSpan w:val="2"/>
            <w:vAlign w:val="center"/>
          </w:tcPr>
          <w:p>
            <w:pPr>
              <w:jc w:val="both"/>
              <w:rPr>
                <w:szCs w:val="21"/>
                <w:lang w:eastAsia="zh-CN"/>
              </w:rPr>
            </w:pPr>
            <w:r>
              <w:rPr>
                <w:szCs w:val="21"/>
                <w:lang w:eastAsia="zh-CN"/>
              </w:rPr>
              <w:t>N</w:t>
            </w:r>
            <w:r>
              <w:rPr>
                <w:rFonts w:hint="eastAsia"/>
                <w:szCs w:val="21"/>
                <w:lang w:eastAsia="zh-CN"/>
              </w:rPr>
              <w:t>/</w:t>
            </w:r>
            <w:r>
              <w:rPr>
                <w:szCs w:val="21"/>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4"/>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洁净级别和房间环境条件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环境温度：-5℃～+40℃</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最大日温差：25℃</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海拔高度：&lt;1000m</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抗震能力:地震强度不超过8级</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相对湿度:≤95%(日平均值)     ≤90%(月平均值)</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安装地点无火灾、爆炸危险、化学腐蚀及剧烈振动</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4"/>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lang w:eastAsia="zh-CN"/>
              </w:rPr>
              <w:t>可用的能源配置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1094"/>
              <w:rPr>
                <w:szCs w:val="21"/>
              </w:rPr>
            </w:pPr>
          </w:p>
        </w:tc>
        <w:tc>
          <w:tcPr>
            <w:tcW w:w="9253" w:type="dxa"/>
            <w:gridSpan w:val="2"/>
            <w:vAlign w:val="center"/>
          </w:tcPr>
          <w:p>
            <w:pPr>
              <w:jc w:val="both"/>
              <w:rPr>
                <w:szCs w:val="21"/>
                <w:lang w:eastAsia="zh-CN"/>
              </w:rPr>
            </w:pPr>
            <w:r>
              <w:rPr>
                <w:color w:val="000000"/>
                <w:lang w:eastAsia="zh-CN"/>
              </w:rPr>
              <w:t>N</w:t>
            </w:r>
            <w:r>
              <w:rPr>
                <w:rFonts w:hint="eastAsia"/>
                <w:color w:val="000000"/>
                <w:lang w:eastAsia="zh-CN"/>
              </w:rPr>
              <w:t>/</w:t>
            </w:r>
            <w:r>
              <w:rPr>
                <w:color w:val="000000"/>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4"/>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lang w:eastAsia="zh-CN"/>
              </w:rPr>
              <w:t>外观材质要求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szCs w:val="21"/>
                <w:lang w:val="en-US" w:eastAsia="zh-CN"/>
              </w:rPr>
              <w:t>标识</w:t>
            </w:r>
            <w:r>
              <w:rPr>
                <w:szCs w:val="21"/>
                <w:lang w:eastAsia="zh-CN"/>
              </w:rPr>
              <w:t xml:space="preserve">：至少应有以下永久贴牢和清楚易认的标识： </w:t>
            </w:r>
          </w:p>
          <w:p>
            <w:pPr>
              <w:spacing w:line="276" w:lineRule="auto"/>
              <w:jc w:val="both"/>
              <w:rPr>
                <w:szCs w:val="21"/>
                <w:lang w:eastAsia="zh-CN"/>
              </w:rPr>
            </w:pPr>
            <w:r>
              <w:rPr>
                <w:szCs w:val="21"/>
                <w:lang w:eastAsia="zh-CN"/>
              </w:rPr>
              <w:t>（1）制造/供应单位；</w:t>
            </w:r>
          </w:p>
          <w:p>
            <w:pPr>
              <w:spacing w:line="276" w:lineRule="auto"/>
              <w:jc w:val="both"/>
              <w:rPr>
                <w:szCs w:val="21"/>
                <w:lang w:eastAsia="zh-CN"/>
              </w:rPr>
            </w:pPr>
            <w:r>
              <w:rPr>
                <w:szCs w:val="21"/>
                <w:lang w:eastAsia="zh-CN"/>
              </w:rPr>
              <w:t>（2）产品注册号；</w:t>
            </w:r>
          </w:p>
          <w:p>
            <w:pPr>
              <w:spacing w:line="276" w:lineRule="auto"/>
              <w:jc w:val="both"/>
              <w:rPr>
                <w:szCs w:val="21"/>
                <w:lang w:eastAsia="zh-CN"/>
              </w:rPr>
            </w:pPr>
            <w:r>
              <w:rPr>
                <w:szCs w:val="21"/>
                <w:lang w:eastAsia="zh-CN"/>
              </w:rPr>
              <w:t>（3）型号；</w:t>
            </w:r>
          </w:p>
          <w:p>
            <w:pPr>
              <w:spacing w:line="276" w:lineRule="auto"/>
              <w:jc w:val="both"/>
              <w:rPr>
                <w:szCs w:val="21"/>
                <w:lang w:eastAsia="zh-CN"/>
              </w:rPr>
            </w:pPr>
            <w:r>
              <w:rPr>
                <w:szCs w:val="21"/>
                <w:lang w:eastAsia="zh-CN"/>
              </w:rPr>
              <w:t>（4）生产日期或编号；</w:t>
            </w:r>
          </w:p>
          <w:p>
            <w:pPr>
              <w:spacing w:line="276" w:lineRule="auto"/>
              <w:jc w:val="both"/>
              <w:rPr>
                <w:szCs w:val="21"/>
                <w:lang w:eastAsia="zh-CN"/>
              </w:rPr>
            </w:pPr>
            <w:r>
              <w:rPr>
                <w:szCs w:val="21"/>
                <w:lang w:eastAsia="zh-CN"/>
              </w:rPr>
              <w:t>（5）对设备必要的说明；</w:t>
            </w:r>
          </w:p>
          <w:p>
            <w:pPr>
              <w:pStyle w:val="3"/>
              <w:spacing w:line="276" w:lineRule="auto"/>
              <w:rPr>
                <w:color w:val="0070C0"/>
                <w:sz w:val="21"/>
                <w:szCs w:val="21"/>
                <w:lang w:eastAsia="zh-CN"/>
              </w:rPr>
            </w:pPr>
            <w:r>
              <w:rPr>
                <w:sz w:val="21"/>
                <w:szCs w:val="21"/>
              </w:rPr>
              <w:t>（</w:t>
            </w:r>
            <w:r>
              <w:rPr>
                <w:sz w:val="21"/>
                <w:szCs w:val="21"/>
                <w:lang w:eastAsia="zh-CN"/>
              </w:rPr>
              <w:t>6</w:t>
            </w:r>
            <w:r>
              <w:rPr>
                <w:sz w:val="21"/>
                <w:szCs w:val="21"/>
              </w:rPr>
              <w:t>）安全标识。</w:t>
            </w:r>
          </w:p>
        </w:tc>
        <w:tc>
          <w:tcPr>
            <w:tcW w:w="2125" w:type="dxa"/>
            <w:vAlign w:val="center"/>
          </w:tcPr>
          <w:p>
            <w:pPr>
              <w:jc w:val="both"/>
              <w:rPr>
                <w:szCs w:val="21"/>
                <w:lang w:eastAsia="zh-CN"/>
              </w:rPr>
            </w:pPr>
            <w:r>
              <w:rPr>
                <w:rFonts w:hint="eastAsia"/>
                <w:szCs w:val="21"/>
                <w:lang w:eastAsia="zh-CN"/>
              </w:rPr>
              <w:t>关键</w:t>
            </w:r>
          </w:p>
        </w:tc>
      </w:tr>
      <w:bookmarkEnd w:id="25"/>
      <w:bookmarkEnd w:id="26"/>
    </w:tbl>
    <w:p>
      <w:pPr>
        <w:spacing w:after="158" w:afterLines="50"/>
        <w:rPr>
          <w:szCs w:val="21"/>
          <w:lang w:eastAsia="zh-CN"/>
        </w:rPr>
      </w:pPr>
    </w:p>
    <w:p>
      <w:pPr>
        <w:pStyle w:val="12"/>
        <w:numPr>
          <w:ilvl w:val="0"/>
          <w:numId w:val="1"/>
        </w:numPr>
        <w:spacing w:after="158" w:afterLines="50"/>
        <w:ind w:left="426" w:hanging="426" w:hangingChars="202"/>
        <w:outlineLvl w:val="0"/>
        <w:rPr>
          <w:rFonts w:ascii="Times New Roman" w:hAnsi="Times New Roman"/>
          <w:b/>
        </w:rPr>
      </w:pPr>
      <w:bookmarkStart w:id="27" w:name="_Toc522107740"/>
      <w:bookmarkStart w:id="28" w:name="_Toc522716121"/>
      <w:r>
        <w:rPr>
          <w:rFonts w:ascii="Times New Roman" w:hAnsi="Times New Roman"/>
          <w:b/>
        </w:rPr>
        <w:t>运行要求</w:t>
      </w:r>
      <w:bookmarkEnd w:id="27"/>
      <w:bookmarkEnd w:id="28"/>
    </w:p>
    <w:p>
      <w:pPr>
        <w:pStyle w:val="14"/>
        <w:spacing w:before="0" w:line="360" w:lineRule="auto"/>
        <w:jc w:val="left"/>
        <w:rPr>
          <w:bCs/>
          <w:i/>
          <w:color w:val="4472C4"/>
          <w:kern w:val="44"/>
          <w:szCs w:val="21"/>
          <w:lang w:eastAsia="zh-CN"/>
        </w:rPr>
      </w:pPr>
    </w:p>
    <w:tbl>
      <w:tblPr>
        <w:tblStyle w:val="11"/>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tblHeader/>
          <w:jc w:val="center"/>
        </w:trPr>
        <w:tc>
          <w:tcPr>
            <w:tcW w:w="1310" w:type="dxa"/>
            <w:shd w:val="clear" w:color="auto" w:fill="D9D9D9"/>
            <w:vAlign w:val="center"/>
          </w:tcPr>
          <w:p>
            <w:pPr>
              <w:jc w:val="center"/>
              <w:rPr>
                <w:b/>
                <w:szCs w:val="21"/>
              </w:rPr>
            </w:pPr>
            <w:r>
              <w:rPr>
                <w:b/>
                <w:szCs w:val="21"/>
              </w:rPr>
              <w:t>编号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jc w:val="center"/>
        </w:trPr>
        <w:tc>
          <w:tcPr>
            <w:tcW w:w="1310" w:type="dxa"/>
            <w:shd w:val="clear" w:color="auto" w:fill="D9D9D9"/>
            <w:vAlign w:val="center"/>
          </w:tcPr>
          <w:p>
            <w:pPr>
              <w:pStyle w:val="12"/>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lang w:eastAsia="zh-CN"/>
              </w:rPr>
              <w:t>原辅料、包装材料、产品的规格标准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高压开关柜：</w:t>
            </w:r>
          </w:p>
          <w:p>
            <w:pPr>
              <w:spacing w:line="276" w:lineRule="auto"/>
              <w:jc w:val="both"/>
              <w:rPr>
                <w:szCs w:val="21"/>
                <w:lang w:eastAsia="zh-CN"/>
              </w:rPr>
            </w:pPr>
            <w:r>
              <w:rPr>
                <w:rFonts w:hint="eastAsia"/>
                <w:szCs w:val="21"/>
                <w:lang w:eastAsia="zh-CN"/>
              </w:rPr>
              <w:t>开关柜的柜体采用厚度不低于2.0mm敷铝锌钢板制作，结构方式为拼装式平顶柜。所有门及外封板采用冷轧钢板制作，表面喷塑。</w:t>
            </w:r>
          </w:p>
          <w:p>
            <w:pPr>
              <w:spacing w:line="276" w:lineRule="auto"/>
              <w:jc w:val="both"/>
              <w:rPr>
                <w:szCs w:val="21"/>
                <w:lang w:eastAsia="zh-CN"/>
              </w:rPr>
            </w:pPr>
            <w:r>
              <w:rPr>
                <w:rFonts w:hint="eastAsia"/>
                <w:szCs w:val="21"/>
                <w:lang w:eastAsia="zh-CN"/>
              </w:rPr>
              <w:t>-额定电压：12kV</w:t>
            </w:r>
          </w:p>
          <w:p>
            <w:pPr>
              <w:spacing w:line="276" w:lineRule="auto"/>
              <w:jc w:val="both"/>
              <w:rPr>
                <w:szCs w:val="21"/>
                <w:lang w:eastAsia="zh-CN"/>
              </w:rPr>
            </w:pPr>
            <w:r>
              <w:rPr>
                <w:rFonts w:hint="eastAsia"/>
                <w:szCs w:val="21"/>
                <w:lang w:eastAsia="zh-CN"/>
              </w:rPr>
              <w:t>-额定电流：按设计图</w:t>
            </w:r>
          </w:p>
          <w:p>
            <w:pPr>
              <w:spacing w:line="276" w:lineRule="auto"/>
              <w:jc w:val="both"/>
              <w:rPr>
                <w:szCs w:val="21"/>
                <w:lang w:eastAsia="zh-CN"/>
              </w:rPr>
            </w:pPr>
            <w:r>
              <w:rPr>
                <w:rFonts w:hint="eastAsia"/>
                <w:szCs w:val="21"/>
                <w:lang w:eastAsia="zh-CN"/>
              </w:rPr>
              <w:t>-额定频率：50Hz</w:t>
            </w:r>
          </w:p>
          <w:p>
            <w:pPr>
              <w:spacing w:line="276" w:lineRule="auto"/>
              <w:jc w:val="both"/>
              <w:rPr>
                <w:szCs w:val="21"/>
                <w:lang w:eastAsia="zh-CN"/>
              </w:rPr>
            </w:pPr>
            <w:r>
              <w:rPr>
                <w:rFonts w:hint="eastAsia"/>
                <w:szCs w:val="21"/>
                <w:lang w:eastAsia="zh-CN"/>
              </w:rPr>
              <w:t>-额定短路开断电流(有效值)： 25 kA</w:t>
            </w:r>
          </w:p>
          <w:p>
            <w:pPr>
              <w:spacing w:line="276" w:lineRule="auto"/>
              <w:jc w:val="both"/>
              <w:rPr>
                <w:lang w:eastAsia="zh-CN"/>
              </w:rPr>
            </w:pPr>
            <w:r>
              <w:rPr>
                <w:rFonts w:hint="eastAsia"/>
                <w:lang w:eastAsia="zh-CN"/>
              </w:rPr>
              <w:t>-额定关合电流(峰值)： 63kA</w:t>
            </w:r>
          </w:p>
          <w:p>
            <w:pPr>
              <w:spacing w:line="276" w:lineRule="auto"/>
              <w:jc w:val="both"/>
              <w:rPr>
                <w:szCs w:val="21"/>
                <w:lang w:eastAsia="zh-CN"/>
              </w:rPr>
            </w:pPr>
            <w:r>
              <w:rPr>
                <w:rFonts w:hint="eastAsia"/>
                <w:szCs w:val="21"/>
                <w:lang w:eastAsia="zh-CN"/>
              </w:rPr>
              <w:t>-额定短时耐受电流： 25kA/4s</w:t>
            </w:r>
          </w:p>
          <w:p>
            <w:pPr>
              <w:spacing w:line="276" w:lineRule="auto"/>
              <w:jc w:val="both"/>
              <w:rPr>
                <w:szCs w:val="21"/>
                <w:lang w:eastAsia="zh-CN"/>
              </w:rPr>
            </w:pPr>
            <w:r>
              <w:rPr>
                <w:rFonts w:hint="eastAsia"/>
                <w:szCs w:val="21"/>
                <w:lang w:eastAsia="zh-CN"/>
              </w:rPr>
              <w:t>-额定绝缘水平：</w:t>
            </w:r>
          </w:p>
          <w:p>
            <w:pPr>
              <w:spacing w:line="276" w:lineRule="auto"/>
              <w:jc w:val="both"/>
              <w:rPr>
                <w:szCs w:val="21"/>
                <w:lang w:eastAsia="zh-CN"/>
              </w:rPr>
            </w:pPr>
            <w:r>
              <w:rPr>
                <w:rFonts w:hint="eastAsia"/>
                <w:szCs w:val="21"/>
                <w:lang w:eastAsia="zh-CN"/>
              </w:rPr>
              <w:t>对地、相间工频耐压值：42kV；雷电冲击耐压值(峰值)：75kV</w:t>
            </w:r>
          </w:p>
          <w:p>
            <w:pPr>
              <w:spacing w:line="276" w:lineRule="auto"/>
              <w:jc w:val="both"/>
              <w:rPr>
                <w:szCs w:val="21"/>
                <w:lang w:eastAsia="zh-CN"/>
              </w:rPr>
            </w:pPr>
            <w:r>
              <w:rPr>
                <w:rFonts w:hint="eastAsia"/>
                <w:szCs w:val="21"/>
                <w:lang w:eastAsia="zh-CN"/>
              </w:rPr>
              <w:t>隔离断口工频耐压值：48kV；雷电冲击耐压值(峰值)：85kV</w:t>
            </w:r>
          </w:p>
          <w:p>
            <w:pPr>
              <w:spacing w:line="276" w:lineRule="auto"/>
              <w:jc w:val="both"/>
              <w:rPr>
                <w:szCs w:val="21"/>
                <w:lang w:eastAsia="zh-CN"/>
              </w:rPr>
            </w:pPr>
            <w:r>
              <w:rPr>
                <w:rFonts w:hint="eastAsia"/>
                <w:szCs w:val="21"/>
                <w:lang w:eastAsia="zh-CN"/>
              </w:rPr>
              <w:t>电气间隙：＞125mm</w:t>
            </w:r>
          </w:p>
          <w:p>
            <w:pPr>
              <w:spacing w:line="276" w:lineRule="auto"/>
              <w:jc w:val="both"/>
              <w:rPr>
                <w:szCs w:val="21"/>
                <w:lang w:eastAsia="zh-CN"/>
              </w:rPr>
            </w:pPr>
            <w:r>
              <w:rPr>
                <w:rFonts w:hint="eastAsia"/>
                <w:szCs w:val="21"/>
                <w:lang w:eastAsia="zh-CN"/>
              </w:rPr>
              <w:t>爬电距离：＞240mm</w:t>
            </w:r>
          </w:p>
          <w:p>
            <w:pPr>
              <w:spacing w:line="276" w:lineRule="auto"/>
              <w:jc w:val="both"/>
              <w:rPr>
                <w:szCs w:val="21"/>
                <w:lang w:eastAsia="zh-CN"/>
              </w:rPr>
            </w:pPr>
            <w:r>
              <w:rPr>
                <w:rFonts w:hint="eastAsia"/>
                <w:szCs w:val="21"/>
                <w:lang w:eastAsia="zh-CN"/>
              </w:rPr>
              <w:t xml:space="preserve">-分、合闸机构和辅助回路的额定控制电压：交流220V  </w:t>
            </w:r>
          </w:p>
          <w:p>
            <w:pPr>
              <w:spacing w:line="276" w:lineRule="auto"/>
              <w:jc w:val="both"/>
              <w:rPr>
                <w:szCs w:val="21"/>
                <w:lang w:eastAsia="zh-CN"/>
              </w:rPr>
            </w:pPr>
            <w:r>
              <w:rPr>
                <w:rFonts w:hint="eastAsia"/>
                <w:szCs w:val="21"/>
                <w:lang w:eastAsia="zh-CN"/>
              </w:rPr>
              <w:t>-外壳防护等级：IP40</w:t>
            </w:r>
          </w:p>
          <w:p>
            <w:pPr>
              <w:spacing w:line="276" w:lineRule="auto"/>
              <w:jc w:val="both"/>
              <w:rPr>
                <w:szCs w:val="21"/>
                <w:lang w:eastAsia="zh-CN"/>
              </w:rPr>
            </w:pPr>
            <w:r>
              <w:rPr>
                <w:rFonts w:hint="eastAsia"/>
                <w:szCs w:val="21"/>
                <w:lang w:eastAsia="zh-CN"/>
              </w:rPr>
              <w:t>柜体颜色：浅驼灰。</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电流互感器采用国产优质产品；具体型号规格见设计图。</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rPr>
              <w:t>设备效率、产能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1094"/>
              <w:rPr>
                <w:szCs w:val="21"/>
              </w:rPr>
            </w:pPr>
          </w:p>
        </w:tc>
        <w:tc>
          <w:tcPr>
            <w:tcW w:w="9253" w:type="dxa"/>
            <w:gridSpan w:val="2"/>
            <w:vAlign w:val="center"/>
          </w:tcPr>
          <w:p>
            <w:pPr>
              <w:jc w:val="both"/>
              <w:rPr>
                <w:szCs w:val="21"/>
                <w:lang w:eastAsia="zh-CN"/>
              </w:rPr>
            </w:pPr>
            <w:r>
              <w:rPr>
                <w:lang w:eastAsia="zh-CN"/>
              </w:rPr>
              <w:t>N</w:t>
            </w:r>
            <w:r>
              <w:rPr>
                <w:rFonts w:hint="eastAsia"/>
                <w:lang w:eastAsia="zh-CN"/>
              </w:rPr>
              <w:t>/</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rPr>
              <w:t>工艺参数范围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1094"/>
              <w:rPr>
                <w:szCs w:val="21"/>
              </w:rPr>
            </w:pPr>
          </w:p>
        </w:tc>
        <w:tc>
          <w:tcPr>
            <w:tcW w:w="9253" w:type="dxa"/>
            <w:gridSpan w:val="2"/>
            <w:vAlign w:val="center"/>
          </w:tcPr>
          <w:p>
            <w:pPr>
              <w:jc w:val="both"/>
              <w:rPr>
                <w:szCs w:val="21"/>
                <w:lang w:eastAsia="zh-CN"/>
              </w:rPr>
            </w:pPr>
            <w:r>
              <w:rPr>
                <w:szCs w:val="21"/>
                <w:lang w:eastAsia="zh-CN"/>
              </w:rPr>
              <w:t>N</w:t>
            </w:r>
            <w:r>
              <w:rPr>
                <w:rFonts w:hint="eastAsia"/>
                <w:szCs w:val="21"/>
                <w:lang w:eastAsia="zh-CN"/>
              </w:rPr>
              <w:t>/</w:t>
            </w:r>
            <w:r>
              <w:rPr>
                <w:szCs w:val="21"/>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其他运行要求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1094"/>
              <w:rPr>
                <w:szCs w:val="21"/>
              </w:rPr>
            </w:pPr>
          </w:p>
        </w:tc>
        <w:tc>
          <w:tcPr>
            <w:tcW w:w="9253" w:type="dxa"/>
            <w:gridSpan w:val="2"/>
            <w:vAlign w:val="center"/>
          </w:tcPr>
          <w:p>
            <w:pPr>
              <w:jc w:val="both"/>
              <w:rPr>
                <w:szCs w:val="21"/>
                <w:lang w:eastAsia="zh-CN"/>
              </w:rPr>
            </w:pPr>
            <w:r>
              <w:rPr>
                <w:szCs w:val="21"/>
                <w:lang w:eastAsia="zh-CN"/>
              </w:rPr>
              <w:t>N</w:t>
            </w:r>
            <w:r>
              <w:rPr>
                <w:rFonts w:hint="eastAsia"/>
                <w:szCs w:val="21"/>
                <w:lang w:eastAsia="zh-CN"/>
              </w:rPr>
              <w:t>/</w:t>
            </w:r>
            <w:r>
              <w:rPr>
                <w:szCs w:val="21"/>
                <w:lang w:eastAsia="zh-CN"/>
              </w:rPr>
              <w:t>A</w:t>
            </w:r>
          </w:p>
        </w:tc>
      </w:tr>
    </w:tbl>
    <w:p>
      <w:pPr>
        <w:pStyle w:val="12"/>
        <w:numPr>
          <w:ilvl w:val="0"/>
          <w:numId w:val="1"/>
        </w:numPr>
        <w:spacing w:after="158" w:afterLines="50"/>
        <w:ind w:left="426" w:hanging="426" w:hangingChars="202"/>
        <w:outlineLvl w:val="0"/>
        <w:rPr>
          <w:rFonts w:ascii="Times New Roman" w:hAnsi="Times New Roman"/>
          <w:b/>
        </w:rPr>
      </w:pPr>
      <w:bookmarkStart w:id="29" w:name="_Toc522716122"/>
      <w:bookmarkStart w:id="30" w:name="_Toc522107742"/>
      <w:bookmarkStart w:id="31" w:name="_Toc482370359"/>
      <w:bookmarkStart w:id="32" w:name="_Toc481702480"/>
      <w:bookmarkStart w:id="33" w:name="_Toc482359946"/>
      <w:bookmarkStart w:id="34" w:name="_Toc482360291"/>
      <w:bookmarkStart w:id="35" w:name="_Toc482369815"/>
      <w:bookmarkStart w:id="36" w:name="_Toc482370071"/>
      <w:bookmarkStart w:id="37" w:name="_Toc483400317"/>
      <w:bookmarkStart w:id="38" w:name="_Toc482370767"/>
      <w:bookmarkStart w:id="39" w:name="_Toc482625289"/>
      <w:bookmarkStart w:id="40" w:name="_Toc482717202"/>
      <w:bookmarkStart w:id="41" w:name="_Toc483227237"/>
      <w:bookmarkStart w:id="42" w:name="_Toc482370151"/>
      <w:r>
        <w:rPr>
          <w:rFonts w:ascii="Times New Roman" w:hAnsi="Times New Roman"/>
          <w:b/>
        </w:rPr>
        <w:t>电气、自动控制要求</w:t>
      </w:r>
      <w:bookmarkEnd w:id="29"/>
    </w:p>
    <w:p>
      <w:pPr>
        <w:pStyle w:val="14"/>
        <w:spacing w:before="0" w:line="360" w:lineRule="auto"/>
        <w:jc w:val="left"/>
        <w:rPr>
          <w:i/>
          <w:color w:val="4472C4"/>
          <w:szCs w:val="21"/>
          <w:lang w:eastAsia="zh-CN"/>
        </w:rPr>
      </w:pPr>
    </w:p>
    <w:tbl>
      <w:tblPr>
        <w:tblStyle w:val="11"/>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tblHeader/>
          <w:jc w:val="center"/>
        </w:trPr>
        <w:tc>
          <w:tcPr>
            <w:tcW w:w="1310" w:type="dxa"/>
            <w:shd w:val="clear" w:color="auto" w:fill="D9D9D9"/>
            <w:vAlign w:val="center"/>
          </w:tcPr>
          <w:p>
            <w:pPr>
              <w:jc w:val="center"/>
              <w:rPr>
                <w:b/>
                <w:szCs w:val="21"/>
              </w:rPr>
            </w:pPr>
            <w:r>
              <w:rPr>
                <w:b/>
                <w:szCs w:val="21"/>
              </w:rPr>
              <w:t>编号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jc w:val="center"/>
        </w:trPr>
        <w:tc>
          <w:tcPr>
            <w:tcW w:w="1310" w:type="dxa"/>
            <w:shd w:val="clear" w:color="auto" w:fill="D9D9D9"/>
            <w:vAlign w:val="center"/>
          </w:tcPr>
          <w:p>
            <w:pPr>
              <w:pStyle w:val="12"/>
              <w:numPr>
                <w:ilvl w:val="2"/>
                <w:numId w:val="7"/>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自动控制要求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1094"/>
              <w:rPr>
                <w:szCs w:val="21"/>
              </w:rPr>
            </w:pPr>
          </w:p>
        </w:tc>
        <w:tc>
          <w:tcPr>
            <w:tcW w:w="9253" w:type="dxa"/>
            <w:gridSpan w:val="2"/>
            <w:vAlign w:val="center"/>
          </w:tcPr>
          <w:p>
            <w:pPr>
              <w:jc w:val="both"/>
              <w:rPr>
                <w:szCs w:val="21"/>
                <w:lang w:eastAsia="zh-CN"/>
              </w:rPr>
            </w:pPr>
            <w:r>
              <w:rPr>
                <w:szCs w:val="21"/>
                <w:lang w:eastAsia="zh-CN"/>
              </w:rPr>
              <w:t>N</w:t>
            </w:r>
            <w:r>
              <w:rPr>
                <w:rFonts w:hint="eastAsia"/>
                <w:szCs w:val="21"/>
                <w:lang w:eastAsia="zh-CN"/>
              </w:rPr>
              <w:t>/</w:t>
            </w:r>
            <w:r>
              <w:rPr>
                <w:szCs w:val="21"/>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2"/>
                <w:numId w:val="7"/>
              </w:numPr>
              <w:ind w:firstLineChars="0"/>
              <w:rPr>
                <w:rFonts w:ascii="Times New Roman" w:hAnsi="Times New Roman"/>
                <w:szCs w:val="21"/>
              </w:rPr>
            </w:pPr>
          </w:p>
        </w:tc>
        <w:tc>
          <w:tcPr>
            <w:tcW w:w="9253" w:type="dxa"/>
            <w:gridSpan w:val="2"/>
            <w:shd w:val="clear" w:color="auto" w:fill="D9D9D9"/>
            <w:vAlign w:val="center"/>
          </w:tcPr>
          <w:p>
            <w:pPr>
              <w:jc w:val="both"/>
              <w:rPr>
                <w:szCs w:val="21"/>
              </w:rPr>
            </w:pPr>
            <w:r>
              <w:rPr>
                <w:szCs w:val="21"/>
                <w:lang w:eastAsia="zh-CN"/>
              </w:rPr>
              <w:t>计算机化系统要求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1094"/>
              <w:rPr>
                <w:szCs w:val="21"/>
              </w:rPr>
            </w:pPr>
          </w:p>
        </w:tc>
        <w:tc>
          <w:tcPr>
            <w:tcW w:w="9253" w:type="dxa"/>
            <w:gridSpan w:val="2"/>
            <w:vAlign w:val="center"/>
          </w:tcPr>
          <w:p>
            <w:pPr>
              <w:jc w:val="both"/>
              <w:rPr>
                <w:szCs w:val="21"/>
                <w:lang w:eastAsia="zh-CN"/>
              </w:rPr>
            </w:pPr>
            <w:r>
              <w:rPr>
                <w:szCs w:val="21"/>
                <w:lang w:eastAsia="zh-CN"/>
              </w:rPr>
              <w:t>N</w:t>
            </w:r>
            <w:r>
              <w:rPr>
                <w:rFonts w:hint="eastAsia"/>
                <w:szCs w:val="21"/>
                <w:lang w:eastAsia="zh-CN"/>
              </w:rPr>
              <w:t>/</w:t>
            </w:r>
            <w:r>
              <w:rPr>
                <w:szCs w:val="21"/>
                <w:lang w:eastAsia="zh-CN"/>
              </w:rPr>
              <w:t>A</w:t>
            </w:r>
          </w:p>
        </w:tc>
      </w:tr>
    </w:tbl>
    <w:p>
      <w:pPr>
        <w:spacing w:after="158" w:afterLines="50"/>
        <w:rPr>
          <w:b/>
          <w:lang w:eastAsia="zh-CN"/>
        </w:rPr>
      </w:pPr>
    </w:p>
    <w:p>
      <w:pPr>
        <w:pStyle w:val="12"/>
        <w:numPr>
          <w:ilvl w:val="0"/>
          <w:numId w:val="1"/>
        </w:numPr>
        <w:spacing w:after="158" w:afterLines="50"/>
        <w:ind w:left="426" w:hanging="426" w:hangingChars="202"/>
        <w:outlineLvl w:val="0"/>
        <w:rPr>
          <w:rFonts w:ascii="Times New Roman" w:hAnsi="Times New Roman"/>
          <w:b/>
        </w:rPr>
      </w:pPr>
      <w:bookmarkStart w:id="43" w:name="_Toc522716123"/>
      <w:r>
        <w:rPr>
          <w:rFonts w:ascii="Times New Roman" w:hAnsi="Times New Roman"/>
          <w:b/>
        </w:rPr>
        <w:t>安全要求</w:t>
      </w:r>
      <w:bookmarkEnd w:id="30"/>
      <w:bookmarkEnd w:id="43"/>
    </w:p>
    <w:p>
      <w:pPr>
        <w:pStyle w:val="14"/>
        <w:spacing w:before="0" w:line="360" w:lineRule="auto"/>
        <w:jc w:val="left"/>
        <w:rPr>
          <w:i/>
          <w:color w:val="4472C4"/>
          <w:szCs w:val="21"/>
          <w:lang w:eastAsia="zh-CN"/>
        </w:rPr>
      </w:pPr>
    </w:p>
    <w:tbl>
      <w:tblPr>
        <w:tblStyle w:val="11"/>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tblHeader/>
          <w:jc w:val="center"/>
        </w:trPr>
        <w:tc>
          <w:tcPr>
            <w:tcW w:w="1310" w:type="dxa"/>
            <w:shd w:val="clear" w:color="auto" w:fill="D9D9D9"/>
            <w:vAlign w:val="center"/>
          </w:tcPr>
          <w:p>
            <w:pPr>
              <w:jc w:val="center"/>
              <w:rPr>
                <w:b/>
                <w:szCs w:val="21"/>
              </w:rPr>
            </w:pPr>
            <w:r>
              <w:rPr>
                <w:b/>
                <w:szCs w:val="21"/>
              </w:rPr>
              <w:t>编号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jc w:val="center"/>
        </w:trPr>
        <w:tc>
          <w:tcPr>
            <w:tcW w:w="1310" w:type="dxa"/>
            <w:shd w:val="clear" w:color="auto" w:fill="D9D9D9"/>
            <w:vAlign w:val="center"/>
          </w:tcPr>
          <w:p>
            <w:pPr>
              <w:pStyle w:val="12"/>
              <w:numPr>
                <w:ilvl w:val="0"/>
                <w:numId w:val="8"/>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 xml:space="preserve"> 密封连锁及压力保护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1094"/>
              <w:rPr>
                <w:szCs w:val="21"/>
              </w:rPr>
            </w:pPr>
          </w:p>
        </w:tc>
        <w:tc>
          <w:tcPr>
            <w:tcW w:w="9253" w:type="dxa"/>
            <w:gridSpan w:val="2"/>
            <w:vAlign w:val="center"/>
          </w:tcPr>
          <w:p>
            <w:pPr>
              <w:jc w:val="both"/>
              <w:rPr>
                <w:szCs w:val="21"/>
                <w:lang w:eastAsia="zh-CN"/>
              </w:rPr>
            </w:pPr>
            <w:r>
              <w:rPr>
                <w:szCs w:val="21"/>
                <w:lang w:eastAsia="zh-CN"/>
              </w:rPr>
              <w:t>N</w:t>
            </w:r>
            <w:r>
              <w:rPr>
                <w:rFonts w:hint="eastAsia"/>
                <w:szCs w:val="21"/>
                <w:lang w:eastAsia="zh-CN"/>
              </w:rPr>
              <w:t>/</w:t>
            </w:r>
            <w:r>
              <w:rPr>
                <w:szCs w:val="21"/>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8"/>
              </w:numPr>
              <w:ind w:firstLineChars="0"/>
              <w:rPr>
                <w:rFonts w:ascii="Times New Roman" w:hAnsi="Times New Roman"/>
                <w:szCs w:val="21"/>
              </w:rPr>
            </w:pPr>
          </w:p>
        </w:tc>
        <w:tc>
          <w:tcPr>
            <w:tcW w:w="7128" w:type="dxa"/>
            <w:shd w:val="clear" w:color="auto" w:fill="D9D9D9"/>
            <w:vAlign w:val="center"/>
          </w:tcPr>
          <w:p>
            <w:pPr>
              <w:jc w:val="both"/>
              <w:rPr>
                <w:szCs w:val="21"/>
                <w:lang w:eastAsia="zh-CN"/>
              </w:rPr>
            </w:pPr>
            <w:r>
              <w:rPr>
                <w:szCs w:val="21"/>
                <w:lang w:eastAsia="zh-CN"/>
              </w:rPr>
              <w:t>电气保护</w:t>
            </w:r>
          </w:p>
        </w:tc>
        <w:tc>
          <w:tcPr>
            <w:tcW w:w="2125" w:type="dxa"/>
            <w:shd w:val="clear" w:color="auto" w:fill="D9D9D9"/>
            <w:vAlign w:val="center"/>
          </w:tcPr>
          <w:p>
            <w:pPr>
              <w:jc w:val="both"/>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1、柜内的橡胶或塑料件，均应是自熄性阻燃材质，不含卤素等有害化学成分。</w:t>
            </w:r>
          </w:p>
          <w:p>
            <w:pPr>
              <w:jc w:val="both"/>
              <w:rPr>
                <w:szCs w:val="21"/>
                <w:lang w:eastAsia="zh-CN"/>
              </w:rPr>
            </w:pPr>
            <w:r>
              <w:rPr>
                <w:rFonts w:hint="eastAsia"/>
                <w:szCs w:val="21"/>
                <w:lang w:eastAsia="zh-CN"/>
              </w:rPr>
              <w:t>2、主接地端子应焊接在柜体上，主接地端子应与接地柜体内的最大接地导线相匹配。</w:t>
            </w:r>
          </w:p>
          <w:p>
            <w:pPr>
              <w:jc w:val="both"/>
              <w:rPr>
                <w:szCs w:val="21"/>
                <w:lang w:eastAsia="zh-CN"/>
              </w:rPr>
            </w:pPr>
            <w:r>
              <w:rPr>
                <w:rFonts w:hint="eastAsia"/>
                <w:szCs w:val="21"/>
                <w:lang w:eastAsia="zh-CN"/>
              </w:rPr>
              <w:t>3、综合保护装置。</w:t>
            </w:r>
          </w:p>
        </w:tc>
        <w:tc>
          <w:tcPr>
            <w:tcW w:w="2125" w:type="dxa"/>
            <w:vAlign w:val="center"/>
          </w:tcPr>
          <w:p>
            <w:pPr>
              <w:jc w:val="both"/>
              <w:rPr>
                <w:szCs w:val="21"/>
                <w:lang w:eastAsia="zh-CN"/>
              </w:rPr>
            </w:pPr>
            <w:r>
              <w:rPr>
                <w:rFonts w:hint="eastAsia"/>
                <w:szCs w:val="21"/>
                <w:lang w:eastAsia="zh-CN"/>
              </w:rPr>
              <w:t>关键</w:t>
            </w:r>
          </w:p>
        </w:tc>
      </w:tr>
    </w:tbl>
    <w:p>
      <w:pPr>
        <w:rPr>
          <w:szCs w:val="21"/>
          <w:lang w:eastAsia="zh-CN"/>
        </w:rPr>
      </w:pPr>
    </w:p>
    <w:p>
      <w:pPr>
        <w:pStyle w:val="12"/>
        <w:numPr>
          <w:ilvl w:val="0"/>
          <w:numId w:val="1"/>
        </w:numPr>
        <w:spacing w:after="158" w:afterLines="50"/>
        <w:ind w:left="426" w:hanging="426" w:hangingChars="202"/>
        <w:outlineLvl w:val="0"/>
        <w:rPr>
          <w:rFonts w:ascii="Times New Roman" w:hAnsi="Times New Roman"/>
          <w:b/>
        </w:rPr>
      </w:pPr>
      <w:bookmarkStart w:id="44" w:name="_Toc522107743"/>
      <w:bookmarkStart w:id="45" w:name="_Toc522716124"/>
      <w:r>
        <w:rPr>
          <w:rFonts w:ascii="Times New Roman" w:hAnsi="Times New Roman"/>
          <w:b/>
        </w:rPr>
        <w:t>文件要求</w:t>
      </w:r>
      <w:bookmarkEnd w:id="44"/>
      <w:bookmarkEnd w:id="45"/>
    </w:p>
    <w:p>
      <w:pPr>
        <w:pStyle w:val="14"/>
        <w:spacing w:before="0" w:line="360" w:lineRule="auto"/>
        <w:ind w:left="357"/>
        <w:jc w:val="left"/>
        <w:rPr>
          <w:i/>
          <w:szCs w:val="21"/>
          <w:lang w:eastAsia="zh-CN"/>
        </w:rPr>
      </w:pPr>
    </w:p>
    <w:tbl>
      <w:tblPr>
        <w:tblStyle w:val="11"/>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tblHeader/>
          <w:jc w:val="center"/>
        </w:trPr>
        <w:tc>
          <w:tcPr>
            <w:tcW w:w="1310" w:type="dxa"/>
            <w:shd w:val="clear" w:color="auto" w:fill="D9D9D9"/>
            <w:vAlign w:val="center"/>
          </w:tcPr>
          <w:p>
            <w:pPr>
              <w:jc w:val="center"/>
              <w:rPr>
                <w:b/>
                <w:szCs w:val="21"/>
              </w:rPr>
            </w:pPr>
            <w:r>
              <w:rPr>
                <w:b/>
                <w:szCs w:val="21"/>
              </w:rPr>
              <w:t>编号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投标文件、合同及订单，在设备开箱验收前移交。</w:t>
            </w:r>
          </w:p>
        </w:tc>
        <w:tc>
          <w:tcPr>
            <w:tcW w:w="2125" w:type="dxa"/>
            <w:vAlign w:val="top"/>
          </w:tcPr>
          <w:p>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卖方发运清单及相关检验报告，不晚于设备安装前移交。</w:t>
            </w:r>
          </w:p>
        </w:tc>
        <w:tc>
          <w:tcPr>
            <w:tcW w:w="2125" w:type="dxa"/>
            <w:vAlign w:val="top"/>
          </w:tcPr>
          <w:p>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提供设备的相关图纸，不晚于设备安装前移交。</w:t>
            </w:r>
          </w:p>
        </w:tc>
        <w:tc>
          <w:tcPr>
            <w:tcW w:w="2125" w:type="dxa"/>
            <w:vAlign w:val="top"/>
          </w:tcPr>
          <w:p>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设备制造相关文件：工厂相关检测报告、材质清单、材质报告及合格证（写明材料有效期）、各种标示、出厂合格证、各组件相关报告及合格证，不晚于设备安装前移交。</w:t>
            </w:r>
          </w:p>
        </w:tc>
        <w:tc>
          <w:tcPr>
            <w:tcW w:w="2125" w:type="dxa"/>
            <w:vAlign w:val="top"/>
          </w:tcPr>
          <w:p>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本设备安装调试报告，出厂检验合格证，不晚于设备安装前移交。</w:t>
            </w:r>
          </w:p>
        </w:tc>
        <w:tc>
          <w:tcPr>
            <w:tcW w:w="2125" w:type="dxa"/>
            <w:vAlign w:val="top"/>
          </w:tcPr>
          <w:p>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设备的操作使用说明书、设备的电气原理图和安全保护装置工作原理以及安装、调试、操作及维护文件，在设备开箱验收前移交。</w:t>
            </w:r>
          </w:p>
        </w:tc>
        <w:tc>
          <w:tcPr>
            <w:tcW w:w="2125" w:type="dxa"/>
            <w:vAlign w:val="top"/>
          </w:tcPr>
          <w:p>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技术数据；设备技术说明；设备详细尺寸；描述安装和空间要求；基础和空间要求；安装时的运输；使用说明书，在设备开箱验收前移交。</w:t>
            </w:r>
          </w:p>
        </w:tc>
        <w:tc>
          <w:tcPr>
            <w:tcW w:w="2125" w:type="dxa"/>
            <w:vAlign w:val="top"/>
          </w:tcPr>
          <w:p>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维护说明书；（电气部分）；备品备件表（推荐的备件），在设备开箱验收前移交。</w:t>
            </w:r>
          </w:p>
        </w:tc>
        <w:tc>
          <w:tcPr>
            <w:tcW w:w="2125" w:type="dxa"/>
            <w:vAlign w:val="top"/>
          </w:tcPr>
          <w:p>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提供设备及其零部件使用寿命清单，在设备开箱验收前移交。</w:t>
            </w:r>
          </w:p>
        </w:tc>
        <w:tc>
          <w:tcPr>
            <w:tcW w:w="2125" w:type="dxa"/>
            <w:vAlign w:val="top"/>
          </w:tcPr>
          <w:p>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文件具体要求：</w:t>
            </w:r>
          </w:p>
          <w:p>
            <w:pPr>
              <w:pStyle w:val="12"/>
              <w:numPr>
                <w:ilvl w:val="0"/>
                <w:numId w:val="9"/>
              </w:numPr>
              <w:ind w:firstLineChars="0"/>
              <w:rPr>
                <w:szCs w:val="21"/>
              </w:rPr>
            </w:pPr>
            <w:r>
              <w:rPr>
                <w:rFonts w:hint="eastAsia"/>
                <w:szCs w:val="21"/>
              </w:rPr>
              <w:t>标书中明确系统所有组件的品牌、材质、型号，并且注明每一个组件的保修期；</w:t>
            </w:r>
          </w:p>
          <w:p>
            <w:pPr>
              <w:pStyle w:val="12"/>
              <w:numPr>
                <w:ilvl w:val="0"/>
                <w:numId w:val="9"/>
              </w:numPr>
              <w:ind w:firstLineChars="0"/>
              <w:rPr>
                <w:szCs w:val="21"/>
              </w:rPr>
            </w:pPr>
            <w:r>
              <w:rPr>
                <w:rFonts w:hint="eastAsia"/>
                <w:szCs w:val="21"/>
              </w:rPr>
              <w:t>设备供应商应提供一份工作计划，以便于我公司做好相关准备工作。</w:t>
            </w:r>
          </w:p>
          <w:p>
            <w:pPr>
              <w:pStyle w:val="12"/>
              <w:numPr>
                <w:ilvl w:val="0"/>
                <w:numId w:val="9"/>
              </w:numPr>
              <w:ind w:firstLineChars="0"/>
              <w:rPr>
                <w:szCs w:val="21"/>
              </w:rPr>
            </w:pPr>
            <w:r>
              <w:rPr>
                <w:rFonts w:hint="eastAsia"/>
                <w:szCs w:val="21"/>
              </w:rPr>
              <w:t>以上资料提供2套纸质技术资料，一份电子版技术资料。</w:t>
            </w:r>
          </w:p>
          <w:p>
            <w:pPr>
              <w:pStyle w:val="12"/>
              <w:ind w:left="420" w:firstLine="0" w:firstLineChars="0"/>
              <w:rPr>
                <w:szCs w:val="21"/>
              </w:rPr>
            </w:pPr>
            <w:r>
              <w:rPr>
                <w:rFonts w:hint="eastAsia"/>
                <w:szCs w:val="21"/>
                <w:lang/>
              </w:rPr>
              <w:t>以上在设备开箱验收前移交。</w:t>
            </w:r>
          </w:p>
        </w:tc>
        <w:tc>
          <w:tcPr>
            <w:tcW w:w="2125" w:type="dxa"/>
            <w:vAlign w:val="top"/>
          </w:tcPr>
          <w:p>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提供有资质的第三方检测机构出具的全套检测报告，并取得武汉市质量技术监督局颁发的使用注册登记证等必要的证书，在设备开箱验收前移交。</w:t>
            </w:r>
          </w:p>
        </w:tc>
        <w:tc>
          <w:tcPr>
            <w:tcW w:w="2125" w:type="dxa"/>
            <w:vAlign w:val="top"/>
          </w:tcPr>
          <w:p>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jc w:val="both"/>
              <w:rPr>
                <w:lang w:eastAsia="zh-CN"/>
              </w:rPr>
            </w:pPr>
            <w:r>
              <w:rPr>
                <w:rFonts w:hint="eastAsia"/>
                <w:lang w:eastAsia="zh-CN"/>
              </w:rPr>
              <w:t>供应商及时向采购人提交进度计划、验收通知及竣工验收报告等，在设备开箱验收前移交。</w:t>
            </w:r>
          </w:p>
        </w:tc>
        <w:tc>
          <w:tcPr>
            <w:tcW w:w="2125" w:type="dxa"/>
            <w:vAlign w:val="top"/>
          </w:tcPr>
          <w:p>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jc w:val="both"/>
              <w:rPr>
                <w:lang w:eastAsia="zh-CN"/>
              </w:rPr>
            </w:pPr>
            <w:r>
              <w:rPr>
                <w:rFonts w:hint="eastAsia"/>
                <w:lang w:eastAsia="zh-CN"/>
              </w:rPr>
              <w:t>合同设备提供2套纸质技术资料，一套电子版技术资料，在设备开箱验收前移交。</w:t>
            </w:r>
          </w:p>
        </w:tc>
        <w:tc>
          <w:tcPr>
            <w:tcW w:w="2125" w:type="dxa"/>
            <w:vAlign w:val="top"/>
          </w:tcPr>
          <w:p>
            <w:r>
              <w:rPr>
                <w:rFonts w:hint="eastAsia"/>
                <w:szCs w:val="21"/>
                <w:lang w:eastAsia="zh-CN"/>
              </w:rPr>
              <w:t>关键</w:t>
            </w:r>
          </w:p>
        </w:tc>
      </w:tr>
    </w:tbl>
    <w:p>
      <w:pPr>
        <w:rPr>
          <w:szCs w:val="21"/>
          <w:lang w:eastAsia="zh-CN"/>
        </w:rPr>
      </w:pPr>
    </w:p>
    <w:p>
      <w:pPr>
        <w:pStyle w:val="12"/>
        <w:numPr>
          <w:ilvl w:val="0"/>
          <w:numId w:val="1"/>
        </w:numPr>
        <w:spacing w:after="158" w:afterLines="50"/>
        <w:ind w:left="426" w:hanging="426" w:hangingChars="202"/>
        <w:outlineLvl w:val="0"/>
        <w:rPr>
          <w:rFonts w:ascii="Times New Roman" w:hAnsi="Times New Roman"/>
          <w:b/>
        </w:rPr>
      </w:pPr>
      <w:bookmarkStart w:id="46" w:name="_Toc522716125"/>
      <w:r>
        <w:rPr>
          <w:rFonts w:ascii="Times New Roman" w:hAnsi="Times New Roman"/>
          <w:b/>
          <w:szCs w:val="21"/>
        </w:rPr>
        <w:t>服务要求</w:t>
      </w:r>
      <w:bookmarkEnd w:id="46"/>
    </w:p>
    <w:p>
      <w:pPr>
        <w:pStyle w:val="14"/>
        <w:spacing w:before="0" w:line="360" w:lineRule="auto"/>
        <w:jc w:val="left"/>
        <w:rPr>
          <w:i/>
          <w:color w:val="4472C4"/>
          <w:szCs w:val="21"/>
          <w:lang w:eastAsia="zh-CN"/>
        </w:rPr>
      </w:pPr>
    </w:p>
    <w:tbl>
      <w:tblPr>
        <w:tblStyle w:val="11"/>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tblHeader/>
          <w:jc w:val="center"/>
        </w:trPr>
        <w:tc>
          <w:tcPr>
            <w:tcW w:w="1310" w:type="dxa"/>
            <w:shd w:val="clear" w:color="auto" w:fill="D9D9D9"/>
            <w:vAlign w:val="center"/>
          </w:tcPr>
          <w:p>
            <w:pPr>
              <w:jc w:val="center"/>
              <w:rPr>
                <w:b/>
                <w:szCs w:val="21"/>
              </w:rPr>
            </w:pPr>
            <w:r>
              <w:rPr>
                <w:b/>
                <w:szCs w:val="21"/>
              </w:rPr>
              <w:t>编号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jc w:val="center"/>
        </w:trPr>
        <w:tc>
          <w:tcPr>
            <w:tcW w:w="1310" w:type="dxa"/>
            <w:shd w:val="clear" w:color="auto" w:fill="D9D9D9"/>
            <w:vAlign w:val="center"/>
          </w:tcPr>
          <w:p>
            <w:pPr>
              <w:pStyle w:val="12"/>
              <w:numPr>
                <w:ilvl w:val="0"/>
                <w:numId w:val="10"/>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培训要求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jc w:val="both"/>
              <w:rPr>
                <w:lang w:eastAsia="zh-CN"/>
              </w:rPr>
            </w:pPr>
            <w:r>
              <w:rPr>
                <w:rFonts w:hint="eastAsia"/>
                <w:lang w:eastAsia="zh-CN"/>
              </w:rPr>
              <w:t>免费提供设备原理、功能、故障排除、安全使用和应急处置措施等方面的培训。</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10"/>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运输要求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lang w:eastAsia="zh-CN"/>
              </w:rPr>
              <w:t>设备运输在运输途中需做好防护措施，不得有任何损伤。</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10"/>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验证要求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1094"/>
              <w:rPr>
                <w:szCs w:val="21"/>
              </w:rPr>
            </w:pPr>
          </w:p>
        </w:tc>
        <w:tc>
          <w:tcPr>
            <w:tcW w:w="9253" w:type="dxa"/>
            <w:gridSpan w:val="2"/>
            <w:vAlign w:val="center"/>
          </w:tcPr>
          <w:p>
            <w:pPr>
              <w:jc w:val="both"/>
              <w:rPr>
                <w:szCs w:val="21"/>
                <w:lang w:eastAsia="zh-CN"/>
              </w:rPr>
            </w:pPr>
            <w:r>
              <w:rPr>
                <w:szCs w:val="21"/>
                <w:lang w:eastAsia="zh-CN"/>
              </w:rPr>
              <w:t>N</w:t>
            </w:r>
            <w:r>
              <w:rPr>
                <w:rFonts w:hint="eastAsia"/>
                <w:szCs w:val="21"/>
                <w:lang w:eastAsia="zh-CN"/>
              </w:rPr>
              <w:t>/</w:t>
            </w:r>
            <w:r>
              <w:rPr>
                <w:szCs w:val="21"/>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10"/>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rPr>
              <w:t>售后服务及备件要求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设备保质期从确认验收的阶段开始计算：</w:t>
            </w:r>
          </w:p>
          <w:p>
            <w:pPr>
              <w:pStyle w:val="12"/>
              <w:numPr>
                <w:ilvl w:val="0"/>
                <w:numId w:val="11"/>
              </w:numPr>
              <w:spacing w:line="276" w:lineRule="auto"/>
              <w:ind w:firstLineChars="0"/>
              <w:rPr>
                <w:szCs w:val="21"/>
              </w:rPr>
            </w:pPr>
            <w:r>
              <w:rPr>
                <w:rFonts w:hint="eastAsia"/>
                <w:szCs w:val="21"/>
              </w:rPr>
              <w:t>不少于一年的设备保修期，一年内免费保修，一年后应提供良好的售后服务。</w:t>
            </w:r>
          </w:p>
          <w:p>
            <w:pPr>
              <w:pStyle w:val="12"/>
              <w:numPr>
                <w:ilvl w:val="0"/>
                <w:numId w:val="11"/>
              </w:numPr>
              <w:spacing w:line="276" w:lineRule="auto"/>
              <w:ind w:firstLineChars="0"/>
              <w:rPr>
                <w:szCs w:val="21"/>
              </w:rPr>
            </w:pPr>
            <w:r>
              <w:rPr>
                <w:rFonts w:hint="eastAsia"/>
                <w:szCs w:val="21"/>
              </w:rPr>
              <w:t>售后服务必须响应及时，要求设备出现须厂家维修的故障后，应在4小时内明确答复，当电话沟通无法解决时，须24小时内派人至现场解决。</w:t>
            </w:r>
          </w:p>
          <w:p>
            <w:pPr>
              <w:pStyle w:val="12"/>
              <w:numPr>
                <w:ilvl w:val="0"/>
                <w:numId w:val="11"/>
              </w:numPr>
              <w:spacing w:line="276" w:lineRule="auto"/>
              <w:ind w:firstLineChars="0"/>
              <w:rPr>
                <w:szCs w:val="21"/>
              </w:rPr>
            </w:pPr>
            <w:r>
              <w:rPr>
                <w:rFonts w:hint="eastAsia"/>
                <w:szCs w:val="21"/>
              </w:rPr>
              <w:t>一年免费保修期后，厂家应终生提供及时的维修、维护、配件服务，厂家应定期回访，解决设备运行当中可能出现的疑问，排除潜在故障，使设备保持良好工作状态。</w:t>
            </w:r>
          </w:p>
          <w:p>
            <w:pPr>
              <w:pStyle w:val="12"/>
              <w:numPr>
                <w:ilvl w:val="0"/>
                <w:numId w:val="11"/>
              </w:numPr>
              <w:spacing w:line="276" w:lineRule="auto"/>
              <w:ind w:firstLineChars="0"/>
              <w:rPr>
                <w:szCs w:val="21"/>
              </w:rPr>
            </w:pPr>
            <w:r>
              <w:rPr>
                <w:rFonts w:hint="eastAsia"/>
                <w:szCs w:val="21"/>
              </w:rPr>
              <w:t>供货方随机供应1年备品备件，保证质保期满后零部件的长期供应。供应商以优惠价格终身提供采购人所需的全部配件。如因设备本身质量问题需要更换配件，供应商免费提供配件。如因使用不当造成质量问题，供应商只收配件成本费，不收人工费。</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jc w:val="both"/>
              <w:rPr>
                <w:lang w:eastAsia="zh-CN"/>
              </w:rPr>
            </w:pPr>
            <w:r>
              <w:rPr>
                <w:rFonts w:hint="eastAsia"/>
                <w:lang w:eastAsia="zh-CN"/>
              </w:rPr>
              <w:t>造成的设备材料损坏及人员伤亡事故由供应商负责处理。</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10"/>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rPr>
              <w:t>验收要求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产品技术参数符合要求；安装调试达到供电部门验收要求；使用过程无安全问题；连续使用 30个工作日无故障及影响整机产品质量。</w:t>
            </w:r>
            <w:r>
              <w:rPr>
                <w:szCs w:val="21"/>
                <w:lang w:eastAsia="zh-CN"/>
              </w:rPr>
              <w:t xml:space="preserve"> </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货物到达买方使用现场后，由买卖双方共同验收，卖方工程师免费为买方提供调试。</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供应商进厂施工需遵守安全和施工规定。</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配电设备经相关部门验收合格后，确认试车验收合格后，买卖双方签订验收报告。</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配电设备经相关部门验收合格后，确认试车验收合格后，买卖双方签订验收报告。</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供应商负责提交竣工验收技术资料，办理竣工报验手续，负责验收工作并确保工程一次性验收合格；协助工程整体竣工验收。供应商承担检验费用。</w:t>
            </w:r>
          </w:p>
        </w:tc>
        <w:tc>
          <w:tcPr>
            <w:tcW w:w="2125" w:type="dxa"/>
            <w:vAlign w:val="center"/>
          </w:tcPr>
          <w:p>
            <w:pPr>
              <w:jc w:val="both"/>
              <w:rPr>
                <w:szCs w:val="21"/>
                <w:lang w:eastAsia="zh-CN"/>
              </w:rPr>
            </w:pPr>
            <w:r>
              <w:rPr>
                <w:rFonts w:hint="eastAsia"/>
                <w:szCs w:val="21"/>
                <w:lang w:eastAsia="zh-CN"/>
              </w:rPr>
              <w:t>关键</w:t>
            </w:r>
          </w:p>
        </w:tc>
      </w:tr>
    </w:tbl>
    <w:p/>
    <w:p>
      <w:pPr>
        <w:pStyle w:val="12"/>
        <w:numPr>
          <w:ilvl w:val="0"/>
          <w:numId w:val="1"/>
        </w:numPr>
        <w:spacing w:after="158" w:afterLines="50"/>
        <w:ind w:left="426" w:hanging="426" w:hangingChars="202"/>
        <w:outlineLvl w:val="0"/>
        <w:rPr>
          <w:rFonts w:ascii="Times New Roman" w:hAnsi="Times New Roman"/>
          <w:b/>
        </w:rPr>
      </w:pPr>
      <w:bookmarkStart w:id="47" w:name="_Toc522716126"/>
      <w:bookmarkStart w:id="48" w:name="_Toc522107746"/>
      <w:r>
        <w:rPr>
          <w:rFonts w:ascii="Times New Roman" w:hAnsi="Times New Roman"/>
          <w:b/>
        </w:rPr>
        <w:t>附件</w:t>
      </w:r>
      <w:bookmarkEnd w:id="47"/>
      <w:bookmarkEnd w:id="48"/>
    </w:p>
    <w:bookmarkEnd w:id="31"/>
    <w:bookmarkEnd w:id="32"/>
    <w:bookmarkEnd w:id="33"/>
    <w:bookmarkEnd w:id="34"/>
    <w:bookmarkEnd w:id="35"/>
    <w:bookmarkEnd w:id="36"/>
    <w:bookmarkEnd w:id="37"/>
    <w:bookmarkEnd w:id="38"/>
    <w:bookmarkEnd w:id="39"/>
    <w:bookmarkEnd w:id="40"/>
    <w:bookmarkEnd w:id="41"/>
    <w:bookmarkEnd w:id="42"/>
    <w:p>
      <w:pPr>
        <w:pStyle w:val="14"/>
        <w:numPr>
          <w:ilvl w:val="1"/>
          <w:numId w:val="1"/>
        </w:numPr>
        <w:spacing w:line="360" w:lineRule="auto"/>
        <w:rPr>
          <w:szCs w:val="21"/>
          <w:lang w:eastAsia="zh-CN"/>
        </w:rPr>
      </w:pPr>
      <w:r>
        <w:rPr>
          <w:rFonts w:hint="eastAsia"/>
          <w:szCs w:val="21"/>
          <w:lang w:eastAsia="zh-CN"/>
        </w:rPr>
        <w:t>SPF楼的供货范围及数量</w:t>
      </w:r>
    </w:p>
    <w:tbl>
      <w:tblPr>
        <w:tblStyle w:val="11"/>
        <w:tblW w:w="8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637"/>
        <w:gridCol w:w="3560"/>
        <w:gridCol w:w="818"/>
        <w:gridCol w:w="872"/>
        <w:gridCol w:w="1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06" w:hRule="atLeast"/>
          <w:jc w:val="center"/>
        </w:trPr>
        <w:tc>
          <w:tcPr>
            <w:tcW w:w="1637" w:type="dxa"/>
            <w:vAlign w:val="center"/>
          </w:tcPr>
          <w:p>
            <w:pPr>
              <w:widowControl w:val="0"/>
              <w:adjustRightInd/>
              <w:jc w:val="center"/>
              <w:textAlignment w:val="auto"/>
              <w:rPr>
                <w:rFonts w:ascii="宋体"/>
                <w:szCs w:val="21"/>
                <w:lang w:val="en-US" w:eastAsia="zh-CN"/>
              </w:rPr>
            </w:pPr>
            <w:r>
              <w:rPr>
                <w:rFonts w:hint="eastAsia" w:ascii="宋体" w:hAnsi="宋体" w:cs="宋体"/>
                <w:szCs w:val="21"/>
                <w:lang w:val="en-US" w:eastAsia="zh-CN"/>
              </w:rPr>
              <w:t>名称</w:t>
            </w:r>
          </w:p>
        </w:tc>
        <w:tc>
          <w:tcPr>
            <w:tcW w:w="3560" w:type="dxa"/>
            <w:vAlign w:val="center"/>
          </w:tcPr>
          <w:p>
            <w:pPr>
              <w:widowControl w:val="0"/>
              <w:adjustRightInd/>
              <w:jc w:val="center"/>
              <w:textAlignment w:val="auto"/>
              <w:rPr>
                <w:rFonts w:ascii="宋体"/>
                <w:szCs w:val="21"/>
                <w:lang w:val="en-US" w:eastAsia="zh-CN"/>
              </w:rPr>
            </w:pPr>
            <w:r>
              <w:rPr>
                <w:rFonts w:hint="eastAsia" w:ascii="宋体"/>
                <w:szCs w:val="21"/>
                <w:lang w:val="en-US" w:eastAsia="zh-CN"/>
              </w:rPr>
              <w:t>型号参数</w:t>
            </w:r>
          </w:p>
        </w:tc>
        <w:tc>
          <w:tcPr>
            <w:tcW w:w="818" w:type="dxa"/>
            <w:vAlign w:val="center"/>
          </w:tcPr>
          <w:p>
            <w:pPr>
              <w:widowControl w:val="0"/>
              <w:adjustRightInd/>
              <w:jc w:val="center"/>
              <w:textAlignment w:val="auto"/>
              <w:rPr>
                <w:rFonts w:ascii="宋体"/>
                <w:szCs w:val="21"/>
                <w:lang w:val="en-US" w:eastAsia="zh-CN"/>
              </w:rPr>
            </w:pPr>
            <w:r>
              <w:rPr>
                <w:rFonts w:hint="eastAsia" w:ascii="宋体" w:hAnsi="宋体" w:cs="宋体"/>
                <w:szCs w:val="21"/>
                <w:lang w:val="en-US" w:eastAsia="zh-CN"/>
              </w:rPr>
              <w:t>单位</w:t>
            </w:r>
          </w:p>
        </w:tc>
        <w:tc>
          <w:tcPr>
            <w:tcW w:w="872" w:type="dxa"/>
            <w:vAlign w:val="center"/>
          </w:tcPr>
          <w:p>
            <w:pPr>
              <w:widowControl w:val="0"/>
              <w:adjustRightInd/>
              <w:jc w:val="center"/>
              <w:textAlignment w:val="auto"/>
              <w:rPr>
                <w:rFonts w:ascii="宋体"/>
                <w:szCs w:val="21"/>
                <w:lang w:val="en-US" w:eastAsia="zh-CN"/>
              </w:rPr>
            </w:pPr>
            <w:r>
              <w:rPr>
                <w:rFonts w:hint="eastAsia" w:ascii="宋体" w:hAnsi="宋体" w:cs="宋体"/>
                <w:szCs w:val="21"/>
                <w:lang w:val="en-US" w:eastAsia="zh-CN"/>
              </w:rPr>
              <w:t>数量</w:t>
            </w:r>
          </w:p>
        </w:tc>
        <w:tc>
          <w:tcPr>
            <w:tcW w:w="1119" w:type="dxa"/>
            <w:vAlign w:val="center"/>
          </w:tcPr>
          <w:p>
            <w:pPr>
              <w:widowControl w:val="0"/>
              <w:adjustRightInd/>
              <w:jc w:val="center"/>
              <w:textAlignment w:val="auto"/>
              <w:rPr>
                <w:rFonts w:ascii="宋体"/>
                <w:szCs w:val="21"/>
                <w:lang w:val="en-US" w:eastAsia="zh-CN"/>
              </w:rPr>
            </w:pPr>
            <w:r>
              <w:rPr>
                <w:rFonts w:hint="eastAsia" w:ascii="宋体" w:hAnsi="宋体" w:cs="宋体"/>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高压开关柜</w:t>
            </w:r>
          </w:p>
        </w:tc>
        <w:tc>
          <w:tcPr>
            <w:tcW w:w="3560" w:type="dxa"/>
            <w:vAlign w:val="center"/>
          </w:tcPr>
          <w:p>
            <w:pPr>
              <w:widowControl w:val="0"/>
              <w:adjustRightInd/>
              <w:jc w:val="both"/>
              <w:textAlignment w:val="auto"/>
              <w:rPr>
                <w:rFonts w:ascii="宋体" w:cs="宋体"/>
                <w:sz w:val="20"/>
                <w:lang w:val="en-US" w:eastAsia="zh-CN"/>
              </w:rPr>
            </w:pPr>
            <w:r>
              <w:rPr>
                <w:rFonts w:ascii="宋体" w:cs="宋体"/>
                <w:sz w:val="20"/>
                <w:lang w:val="en-US" w:eastAsia="zh-CN"/>
              </w:rPr>
              <w:t>KYN28</w:t>
            </w:r>
            <w:r>
              <w:rPr>
                <w:rFonts w:hint="eastAsia" w:ascii="宋体" w:cs="宋体"/>
                <w:sz w:val="20"/>
                <w:lang w:val="en-US" w:eastAsia="zh-CN"/>
              </w:rPr>
              <w:t>A</w:t>
            </w:r>
            <w:r>
              <w:rPr>
                <w:rFonts w:ascii="宋体" w:cs="宋体"/>
                <w:sz w:val="20"/>
                <w:lang w:val="en-US" w:eastAsia="zh-CN"/>
              </w:rPr>
              <w:t>-12</w:t>
            </w:r>
            <w:r>
              <w:rPr>
                <w:rFonts w:hint="eastAsia" w:ascii="宋体" w:cs="宋体"/>
                <w:sz w:val="20"/>
                <w:lang w:val="en-US" w:eastAsia="zh-CN"/>
              </w:rPr>
              <w:t xml:space="preserve"> 630A 手车式 带PT</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面</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2</w:t>
            </w:r>
          </w:p>
        </w:tc>
        <w:tc>
          <w:tcPr>
            <w:tcW w:w="1119" w:type="dxa"/>
            <w:vAlign w:val="top"/>
          </w:tcPr>
          <w:p>
            <w:pPr>
              <w:widowControl w:val="0"/>
              <w:adjustRightInd/>
              <w:jc w:val="center"/>
              <w:textAlignment w:val="auto"/>
              <w:rPr>
                <w:rFonts w:ascii="宋体" w:cs="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10kV冷缩终端头</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3*95</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套</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7</w:t>
            </w:r>
          </w:p>
        </w:tc>
        <w:tc>
          <w:tcPr>
            <w:tcW w:w="1119" w:type="dxa"/>
            <w:vAlign w:val="top"/>
          </w:tcPr>
          <w:p>
            <w:pPr>
              <w:widowControl w:val="0"/>
              <w:adjustRightInd/>
              <w:jc w:val="center"/>
              <w:textAlignment w:val="auto"/>
              <w:rPr>
                <w:rFonts w:ascii="宋体" w:cs="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10kV冷缩中间头</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3*95</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套</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1</w:t>
            </w:r>
          </w:p>
        </w:tc>
        <w:tc>
          <w:tcPr>
            <w:tcW w:w="1119" w:type="dxa"/>
            <w:vAlign w:val="top"/>
          </w:tcPr>
          <w:p>
            <w:pPr>
              <w:widowControl w:val="0"/>
              <w:adjustRightInd/>
              <w:jc w:val="center"/>
              <w:textAlignment w:val="auto"/>
              <w:rPr>
                <w:rFonts w:ascii="宋体" w:cs="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控制电缆</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ZR-KVVP2-22-4*2.5</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米</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150</w:t>
            </w:r>
          </w:p>
        </w:tc>
        <w:tc>
          <w:tcPr>
            <w:tcW w:w="1119" w:type="dxa"/>
            <w:vAlign w:val="top"/>
          </w:tcPr>
          <w:p>
            <w:pPr>
              <w:widowControl w:val="0"/>
              <w:adjustRightInd/>
              <w:jc w:val="center"/>
              <w:textAlignment w:val="auto"/>
              <w:rPr>
                <w:rFonts w:ascii="宋体" w:cs="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双绞屏蔽线</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ZR-DJYPVP22-2*1</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米</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100</w:t>
            </w:r>
          </w:p>
        </w:tc>
        <w:tc>
          <w:tcPr>
            <w:tcW w:w="1119" w:type="dxa"/>
            <w:vAlign w:val="top"/>
          </w:tcPr>
          <w:p>
            <w:pPr>
              <w:widowControl w:val="0"/>
              <w:adjustRightInd/>
              <w:jc w:val="center"/>
              <w:textAlignment w:val="auto"/>
              <w:rPr>
                <w:rFonts w:ascii="宋体" w:cs="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绝缘垫</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10kV</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卷</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14</w:t>
            </w:r>
          </w:p>
        </w:tc>
        <w:tc>
          <w:tcPr>
            <w:tcW w:w="1119" w:type="dxa"/>
            <w:vAlign w:val="top"/>
          </w:tcPr>
          <w:p>
            <w:pPr>
              <w:widowControl w:val="0"/>
              <w:adjustRightInd/>
              <w:jc w:val="center"/>
              <w:textAlignment w:val="auto"/>
              <w:rPr>
                <w:rFonts w:ascii="宋体" w:cs="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安全工具柜</w:t>
            </w:r>
          </w:p>
        </w:tc>
        <w:tc>
          <w:tcPr>
            <w:tcW w:w="3560" w:type="dxa"/>
            <w:vAlign w:val="center"/>
          </w:tcPr>
          <w:p>
            <w:pPr>
              <w:widowControl w:val="0"/>
              <w:adjustRightInd/>
              <w:jc w:val="both"/>
              <w:textAlignment w:val="auto"/>
              <w:rPr>
                <w:rFonts w:ascii="宋体" w:cs="宋体"/>
                <w:sz w:val="20"/>
                <w:lang w:val="en-US" w:eastAsia="zh-CN"/>
              </w:rPr>
            </w:pP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个</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1</w:t>
            </w:r>
          </w:p>
        </w:tc>
        <w:tc>
          <w:tcPr>
            <w:tcW w:w="1119" w:type="dxa"/>
            <w:vAlign w:val="top"/>
          </w:tcPr>
          <w:p>
            <w:pPr>
              <w:widowControl w:val="0"/>
              <w:adjustRightInd/>
              <w:jc w:val="center"/>
              <w:textAlignment w:val="auto"/>
              <w:rPr>
                <w:rFonts w:ascii="宋体" w:cs="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标识牌</w:t>
            </w:r>
          </w:p>
        </w:tc>
        <w:tc>
          <w:tcPr>
            <w:tcW w:w="3560" w:type="dxa"/>
            <w:vAlign w:val="center"/>
          </w:tcPr>
          <w:p>
            <w:pPr>
              <w:widowControl w:val="0"/>
              <w:adjustRightInd/>
              <w:jc w:val="both"/>
              <w:textAlignment w:val="auto"/>
              <w:rPr>
                <w:rFonts w:ascii="宋体" w:cs="宋体"/>
                <w:sz w:val="20"/>
                <w:lang w:val="en-US" w:eastAsia="zh-CN"/>
              </w:rPr>
            </w:pP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批</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1</w:t>
            </w:r>
          </w:p>
        </w:tc>
        <w:tc>
          <w:tcPr>
            <w:tcW w:w="1119" w:type="dxa"/>
            <w:vAlign w:val="top"/>
          </w:tcPr>
          <w:p>
            <w:pPr>
              <w:widowControl w:val="0"/>
              <w:adjustRightInd/>
              <w:jc w:val="center"/>
              <w:textAlignment w:val="auto"/>
              <w:rPr>
                <w:rFonts w:ascii="宋体" w:cs="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安全工器具</w:t>
            </w:r>
          </w:p>
        </w:tc>
        <w:tc>
          <w:tcPr>
            <w:tcW w:w="3560" w:type="dxa"/>
            <w:vAlign w:val="center"/>
          </w:tcPr>
          <w:p>
            <w:pPr>
              <w:widowControl w:val="0"/>
              <w:adjustRightInd/>
              <w:jc w:val="both"/>
              <w:textAlignment w:val="auto"/>
              <w:rPr>
                <w:rFonts w:ascii="宋体" w:cs="宋体"/>
                <w:sz w:val="20"/>
                <w:lang w:val="en-US" w:eastAsia="zh-CN"/>
              </w:rPr>
            </w:pP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批</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1</w:t>
            </w:r>
          </w:p>
        </w:tc>
        <w:tc>
          <w:tcPr>
            <w:tcW w:w="1119" w:type="dxa"/>
            <w:vAlign w:val="top"/>
          </w:tcPr>
          <w:p>
            <w:pPr>
              <w:widowControl w:val="0"/>
              <w:adjustRightInd/>
              <w:jc w:val="center"/>
              <w:textAlignment w:val="auto"/>
              <w:rPr>
                <w:rFonts w:ascii="宋体" w:cs="宋体"/>
                <w:sz w:val="20"/>
                <w:lang w:val="en-US" w:eastAsia="zh-CN"/>
              </w:rPr>
            </w:pPr>
          </w:p>
        </w:tc>
      </w:tr>
    </w:tbl>
    <w:p>
      <w:pPr>
        <w:pStyle w:val="14"/>
        <w:spacing w:line="360" w:lineRule="auto"/>
        <w:ind w:left="992"/>
        <w:rPr>
          <w:szCs w:val="21"/>
          <w:lang w:eastAsia="zh-CN"/>
        </w:rPr>
      </w:pPr>
    </w:p>
    <w:p>
      <w:pPr>
        <w:pStyle w:val="14"/>
        <w:numPr>
          <w:ilvl w:val="1"/>
          <w:numId w:val="1"/>
        </w:numPr>
        <w:spacing w:line="360" w:lineRule="auto"/>
        <w:rPr>
          <w:szCs w:val="21"/>
          <w:lang w:eastAsia="zh-CN"/>
        </w:rPr>
      </w:pPr>
      <w:r>
        <w:rPr>
          <w:rFonts w:hint="eastAsia"/>
          <w:szCs w:val="21"/>
          <w:lang w:eastAsia="zh-CN"/>
        </w:rPr>
        <w:t>技术服务</w:t>
      </w:r>
    </w:p>
    <w:p>
      <w:pPr>
        <w:pStyle w:val="14"/>
        <w:spacing w:line="360" w:lineRule="auto"/>
        <w:ind w:left="992"/>
        <w:rPr>
          <w:szCs w:val="21"/>
          <w:lang w:eastAsia="zh-CN"/>
        </w:rPr>
      </w:pPr>
      <w:r>
        <w:rPr>
          <w:rFonts w:hint="eastAsia"/>
          <w:szCs w:val="21"/>
          <w:lang w:eastAsia="zh-CN"/>
        </w:rPr>
        <w:t>承包商负责对旧变压器的外壳改造，及运输安装。</w:t>
      </w:r>
    </w:p>
    <w:p>
      <w:pPr>
        <w:pStyle w:val="14"/>
        <w:spacing w:line="360" w:lineRule="auto"/>
        <w:ind w:left="992"/>
        <w:rPr>
          <w:szCs w:val="21"/>
          <w:lang w:eastAsia="zh-CN"/>
        </w:rPr>
      </w:pPr>
      <w:r>
        <w:rPr>
          <w:rFonts w:hint="eastAsia"/>
          <w:szCs w:val="21"/>
          <w:lang w:eastAsia="zh-CN"/>
        </w:rPr>
        <w:t>承包商负责对高压开关柜、母线槽的运输、卸货、安装。</w:t>
      </w:r>
    </w:p>
    <w:p>
      <w:pPr>
        <w:pStyle w:val="14"/>
        <w:spacing w:line="360" w:lineRule="auto"/>
        <w:ind w:left="992"/>
        <w:rPr>
          <w:szCs w:val="21"/>
          <w:lang w:eastAsia="zh-CN"/>
        </w:rPr>
      </w:pPr>
      <w:r>
        <w:rPr>
          <w:rFonts w:hint="eastAsia"/>
          <w:szCs w:val="21"/>
          <w:lang w:eastAsia="zh-CN"/>
        </w:rPr>
        <w:t>承包商负责对相关控制电缆、通讯电缆的敷设及接线。</w:t>
      </w:r>
    </w:p>
    <w:p>
      <w:pPr>
        <w:pStyle w:val="14"/>
        <w:spacing w:line="360" w:lineRule="auto"/>
        <w:ind w:left="992"/>
        <w:rPr>
          <w:szCs w:val="21"/>
          <w:lang w:eastAsia="zh-CN"/>
        </w:rPr>
      </w:pPr>
      <w:r>
        <w:rPr>
          <w:rFonts w:hint="eastAsia"/>
          <w:szCs w:val="21"/>
          <w:lang w:eastAsia="zh-CN"/>
        </w:rPr>
        <w:t>承包商负责对变压器连接铜排、母线槽连接铜排的制作安装。</w:t>
      </w:r>
    </w:p>
    <w:p>
      <w:pPr>
        <w:pStyle w:val="14"/>
        <w:spacing w:line="360" w:lineRule="auto"/>
        <w:ind w:left="992"/>
        <w:rPr>
          <w:szCs w:val="21"/>
          <w:lang w:eastAsia="zh-CN"/>
        </w:rPr>
      </w:pPr>
      <w:r>
        <w:rPr>
          <w:rFonts w:hint="eastAsia"/>
          <w:szCs w:val="21"/>
          <w:lang w:eastAsia="zh-CN"/>
        </w:rPr>
        <w:t>承包商负责对相关一次电缆头的制作及接入。</w:t>
      </w:r>
    </w:p>
    <w:p>
      <w:pPr>
        <w:pStyle w:val="14"/>
        <w:spacing w:line="360" w:lineRule="auto"/>
        <w:ind w:left="992"/>
        <w:rPr>
          <w:szCs w:val="21"/>
          <w:lang w:eastAsia="zh-CN"/>
        </w:rPr>
      </w:pPr>
      <w:r>
        <w:rPr>
          <w:rFonts w:hint="eastAsia"/>
          <w:szCs w:val="21"/>
          <w:lang w:eastAsia="zh-CN"/>
        </w:rPr>
        <w:t>承包商负责对所供设备的调试及试验。</w:t>
      </w:r>
    </w:p>
    <w:p>
      <w:pPr>
        <w:rPr>
          <w:lang w:eastAsia="zh-CN"/>
        </w:rPr>
      </w:pPr>
    </w:p>
    <w:sectPr>
      <w:headerReference r:id="rId4" w:type="default"/>
      <w:footerReference r:id="rId5" w:type="default"/>
      <w:pgSz w:w="11907" w:h="16840"/>
      <w:pgMar w:top="1134" w:right="567" w:bottom="1134" w:left="993" w:header="851" w:footer="992" w:gutter="0"/>
      <w:pgNumType w:start="1"/>
      <w:cols w:space="720" w:num="1"/>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tabs>
        <w:tab w:val="right" w:pos="9356"/>
        <w:tab w:val="clear" w:pos="8640"/>
      </w:tabs>
      <w:ind w:right="-285"/>
      <w:rPr>
        <w:sz w:val="18"/>
        <w:szCs w:val="18"/>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82943692">
    <w:nsid w:val="16D341CC"/>
    <w:multiLevelType w:val="multilevel"/>
    <w:tmpl w:val="16D341CC"/>
    <w:lvl w:ilvl="0" w:tentative="1">
      <w:start w:val="1"/>
      <w:numFmt w:val="decimal"/>
      <w:lvlText w:val="URS %1"/>
      <w:lvlJc w:val="left"/>
      <w:pPr>
        <w:ind w:left="1514" w:hanging="420"/>
      </w:pPr>
      <w:rPr>
        <w:rFonts w:hint="eastAsia"/>
      </w:rPr>
    </w:lvl>
    <w:lvl w:ilvl="1" w:tentative="1">
      <w:start w:val="1"/>
      <w:numFmt w:val="lowerLetter"/>
      <w:lvlText w:val="%2)"/>
      <w:lvlJc w:val="left"/>
      <w:pPr>
        <w:ind w:left="1440" w:hanging="420"/>
      </w:pPr>
    </w:lvl>
    <w:lvl w:ilvl="2" w:tentative="1">
      <w:start w:val="1"/>
      <w:numFmt w:val="lowerRoman"/>
      <w:lvlText w:val="%3."/>
      <w:lvlJc w:val="right"/>
      <w:pPr>
        <w:ind w:left="1860" w:hanging="420"/>
      </w:pPr>
    </w:lvl>
    <w:lvl w:ilvl="3" w:tentative="1">
      <w:start w:val="1"/>
      <w:numFmt w:val="decimal"/>
      <w:lvlText w:val="%4."/>
      <w:lvlJc w:val="left"/>
      <w:pPr>
        <w:ind w:left="2280" w:hanging="420"/>
      </w:pPr>
    </w:lvl>
    <w:lvl w:ilvl="4" w:tentative="1">
      <w:start w:val="1"/>
      <w:numFmt w:val="lowerLetter"/>
      <w:lvlText w:val="%5)"/>
      <w:lvlJc w:val="left"/>
      <w:pPr>
        <w:ind w:left="2700" w:hanging="420"/>
      </w:pPr>
    </w:lvl>
    <w:lvl w:ilvl="5" w:tentative="1">
      <w:start w:val="1"/>
      <w:numFmt w:val="lowerRoman"/>
      <w:lvlText w:val="%6."/>
      <w:lvlJc w:val="right"/>
      <w:pPr>
        <w:ind w:left="3120" w:hanging="420"/>
      </w:pPr>
    </w:lvl>
    <w:lvl w:ilvl="6" w:tentative="1">
      <w:start w:val="1"/>
      <w:numFmt w:val="decimal"/>
      <w:lvlText w:val="%7."/>
      <w:lvlJc w:val="left"/>
      <w:pPr>
        <w:ind w:left="3540" w:hanging="420"/>
      </w:pPr>
    </w:lvl>
    <w:lvl w:ilvl="7" w:tentative="1">
      <w:start w:val="1"/>
      <w:numFmt w:val="lowerLetter"/>
      <w:lvlText w:val="%8)"/>
      <w:lvlJc w:val="left"/>
      <w:pPr>
        <w:ind w:left="3960" w:hanging="420"/>
      </w:pPr>
    </w:lvl>
    <w:lvl w:ilvl="8" w:tentative="1">
      <w:start w:val="1"/>
      <w:numFmt w:val="lowerRoman"/>
      <w:lvlText w:val="%9."/>
      <w:lvlJc w:val="right"/>
      <w:pPr>
        <w:ind w:left="4380" w:hanging="420"/>
      </w:pPr>
    </w:lvl>
  </w:abstractNum>
  <w:abstractNum w:abstractNumId="444693593">
    <w:nsid w:val="1A817C59"/>
    <w:multiLevelType w:val="multilevel"/>
    <w:tmpl w:val="1A817C59"/>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512037502">
    <w:nsid w:val="1E85127E"/>
    <w:multiLevelType w:val="multilevel"/>
    <w:tmpl w:val="1E85127E"/>
    <w:lvl w:ilvl="0" w:tentative="1">
      <w:start w:val="1"/>
      <w:numFmt w:val="bullet"/>
      <w:lvlText w:val=""/>
      <w:lvlJc w:val="left"/>
      <w:pPr>
        <w:ind w:left="988" w:hanging="420"/>
      </w:pPr>
      <w:rPr>
        <w:rFonts w:hint="default" w:ascii="Wingdings" w:hAnsi="Wingdings"/>
        <w:color w:val="000000"/>
      </w:rPr>
    </w:lvl>
    <w:lvl w:ilvl="1" w:tentative="1">
      <w:start w:val="1"/>
      <w:numFmt w:val="bullet"/>
      <w:lvlText w:val=""/>
      <w:lvlJc w:val="left"/>
      <w:pPr>
        <w:ind w:left="1200" w:hanging="420"/>
      </w:pPr>
      <w:rPr>
        <w:rFonts w:hint="default" w:ascii="Wingdings" w:hAnsi="Wingdings"/>
      </w:rPr>
    </w:lvl>
    <w:lvl w:ilvl="2" w:tentative="1">
      <w:start w:val="1"/>
      <w:numFmt w:val="bullet"/>
      <w:lvlText w:val=""/>
      <w:lvlJc w:val="left"/>
      <w:pPr>
        <w:ind w:left="1620" w:hanging="420"/>
      </w:pPr>
      <w:rPr>
        <w:rFonts w:hint="default" w:ascii="Wingdings" w:hAnsi="Wingdings"/>
      </w:rPr>
    </w:lvl>
    <w:lvl w:ilvl="3" w:tentative="1">
      <w:start w:val="1"/>
      <w:numFmt w:val="bullet"/>
      <w:lvlText w:val=""/>
      <w:lvlJc w:val="left"/>
      <w:pPr>
        <w:ind w:left="2040" w:hanging="420"/>
      </w:pPr>
      <w:rPr>
        <w:rFonts w:hint="default" w:ascii="Wingdings" w:hAnsi="Wingdings"/>
      </w:rPr>
    </w:lvl>
    <w:lvl w:ilvl="4" w:tentative="1">
      <w:start w:val="1"/>
      <w:numFmt w:val="bullet"/>
      <w:lvlText w:val=""/>
      <w:lvlJc w:val="left"/>
      <w:pPr>
        <w:ind w:left="2460" w:hanging="420"/>
      </w:pPr>
      <w:rPr>
        <w:rFonts w:hint="default" w:ascii="Wingdings" w:hAnsi="Wingdings"/>
      </w:rPr>
    </w:lvl>
    <w:lvl w:ilvl="5" w:tentative="1">
      <w:start w:val="1"/>
      <w:numFmt w:val="bullet"/>
      <w:lvlText w:val=""/>
      <w:lvlJc w:val="left"/>
      <w:pPr>
        <w:ind w:left="2880" w:hanging="420"/>
      </w:pPr>
      <w:rPr>
        <w:rFonts w:hint="default" w:ascii="Wingdings" w:hAnsi="Wingdings"/>
      </w:rPr>
    </w:lvl>
    <w:lvl w:ilvl="6" w:tentative="1">
      <w:start w:val="1"/>
      <w:numFmt w:val="bullet"/>
      <w:lvlText w:val=""/>
      <w:lvlJc w:val="left"/>
      <w:pPr>
        <w:ind w:left="3300" w:hanging="420"/>
      </w:pPr>
      <w:rPr>
        <w:rFonts w:hint="default" w:ascii="Wingdings" w:hAnsi="Wingdings"/>
      </w:rPr>
    </w:lvl>
    <w:lvl w:ilvl="7" w:tentative="1">
      <w:start w:val="1"/>
      <w:numFmt w:val="bullet"/>
      <w:lvlText w:val=""/>
      <w:lvlJc w:val="left"/>
      <w:pPr>
        <w:ind w:left="3720" w:hanging="420"/>
      </w:pPr>
      <w:rPr>
        <w:rFonts w:hint="default" w:ascii="Wingdings" w:hAnsi="Wingdings"/>
      </w:rPr>
    </w:lvl>
    <w:lvl w:ilvl="8" w:tentative="1">
      <w:start w:val="1"/>
      <w:numFmt w:val="bullet"/>
      <w:lvlText w:val=""/>
      <w:lvlJc w:val="left"/>
      <w:pPr>
        <w:ind w:left="4140" w:hanging="420"/>
      </w:pPr>
      <w:rPr>
        <w:rFonts w:hint="default" w:ascii="Wingdings" w:hAnsi="Wingdings"/>
      </w:rPr>
    </w:lvl>
  </w:abstractNum>
  <w:abstractNum w:abstractNumId="594097956">
    <w:nsid w:val="23693724"/>
    <w:multiLevelType w:val="multilevel"/>
    <w:tmpl w:val="23693724"/>
    <w:lvl w:ilvl="0" w:tentative="1">
      <w:start w:val="1"/>
      <w:numFmt w:val="decimal"/>
      <w:lvlText w:val="%1"/>
      <w:lvlJc w:val="left"/>
      <w:pPr>
        <w:ind w:left="425" w:hanging="425"/>
      </w:pPr>
    </w:lvl>
    <w:lvl w:ilvl="1" w:tentative="1">
      <w:start w:val="1"/>
      <w:numFmt w:val="decimal"/>
      <w:lvlText w:val="%1.%2"/>
      <w:lvlJc w:val="left"/>
      <w:pPr>
        <w:ind w:left="992" w:hanging="567"/>
      </w:pPr>
    </w:lvl>
    <w:lvl w:ilvl="2" w:tentative="1">
      <w:start w:val="1"/>
      <w:numFmt w:val="decimal"/>
      <w:lvlText w:val="%1.%2.%3"/>
      <w:lvlJc w:val="left"/>
      <w:pPr>
        <w:ind w:left="1418" w:hanging="567"/>
      </w:pPr>
    </w:lvl>
    <w:lvl w:ilvl="3" w:tentative="1">
      <w:start w:val="1"/>
      <w:numFmt w:val="decimal"/>
      <w:lvlText w:val="%1.%2.%3.%4"/>
      <w:lvlJc w:val="left"/>
      <w:pPr>
        <w:ind w:left="1984" w:hanging="708"/>
      </w:pPr>
    </w:lvl>
    <w:lvl w:ilvl="4" w:tentative="1">
      <w:start w:val="1"/>
      <w:numFmt w:val="decimal"/>
      <w:lvlText w:val="%1.%2.%3.%4.%5"/>
      <w:lvlJc w:val="left"/>
      <w:pPr>
        <w:ind w:left="2551" w:hanging="850"/>
      </w:pPr>
    </w:lvl>
    <w:lvl w:ilvl="5" w:tentative="1">
      <w:start w:val="1"/>
      <w:numFmt w:val="decimal"/>
      <w:lvlText w:val="%1.%2.%3.%4.%5.%6"/>
      <w:lvlJc w:val="left"/>
      <w:pPr>
        <w:ind w:left="3260" w:hanging="1134"/>
      </w:pPr>
    </w:lvl>
    <w:lvl w:ilvl="6" w:tentative="1">
      <w:start w:val="1"/>
      <w:numFmt w:val="decimal"/>
      <w:lvlText w:val="%1.%2.%3.%4.%5.%6.%7"/>
      <w:lvlJc w:val="left"/>
      <w:pPr>
        <w:ind w:left="3827" w:hanging="1276"/>
      </w:pPr>
    </w:lvl>
    <w:lvl w:ilvl="7" w:tentative="1">
      <w:start w:val="1"/>
      <w:numFmt w:val="decimal"/>
      <w:lvlText w:val="%1.%2.%3.%4.%5.%6.%7.%8"/>
      <w:lvlJc w:val="left"/>
      <w:pPr>
        <w:ind w:left="4394" w:hanging="1418"/>
      </w:pPr>
    </w:lvl>
    <w:lvl w:ilvl="8" w:tentative="1">
      <w:start w:val="1"/>
      <w:numFmt w:val="decimal"/>
      <w:lvlText w:val="%1.%2.%3.%4.%5.%6.%7.%8.%9"/>
      <w:lvlJc w:val="left"/>
      <w:pPr>
        <w:ind w:left="5102" w:hanging="1700"/>
      </w:pPr>
    </w:lvl>
  </w:abstractNum>
  <w:abstractNum w:abstractNumId="839589741">
    <w:nsid w:val="320B1F6D"/>
    <w:multiLevelType w:val="multilevel"/>
    <w:tmpl w:val="320B1F6D"/>
    <w:lvl w:ilvl="0" w:tentative="1">
      <w:start w:val="1"/>
      <w:numFmt w:val="decimal"/>
      <w:lvlText w:val="8.%1"/>
      <w:lvlJc w:val="left"/>
      <w:pPr>
        <w:ind w:left="777" w:hanging="420"/>
      </w:pPr>
      <w:rPr>
        <w:rFonts w:hint="eastAsia"/>
      </w:rPr>
    </w:lvl>
    <w:lvl w:ilvl="1" w:tentative="1">
      <w:start w:val="1"/>
      <w:numFmt w:val="lowerLetter"/>
      <w:lvlText w:val="%2)"/>
      <w:lvlJc w:val="left"/>
      <w:pPr>
        <w:ind w:left="840" w:hanging="420"/>
      </w:pPr>
    </w:lvl>
    <w:lvl w:ilvl="2" w:tentative="1">
      <w:start w:val="1"/>
      <w:numFmt w:val="decimal"/>
      <w:lvlText w:val="8.%3"/>
      <w:lvlJc w:val="right"/>
      <w:pPr>
        <w:ind w:left="1260" w:hanging="420"/>
      </w:pPr>
      <w:rPr>
        <w:rFonts w:hint="eastAsia"/>
      </w:r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69643605">
    <w:nsid w:val="51A31A55"/>
    <w:multiLevelType w:val="multilevel"/>
    <w:tmpl w:val="51A31A55"/>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1419404300">
    <w:nsid w:val="549A640C"/>
    <w:multiLevelType w:val="multilevel"/>
    <w:tmpl w:val="549A640C"/>
    <w:lvl w:ilvl="0" w:tentative="1">
      <w:start w:val="1"/>
      <w:numFmt w:val="decimal"/>
      <w:lvlText w:val="12.%1"/>
      <w:lvlJc w:val="left"/>
      <w:pPr>
        <w:ind w:left="846"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653867252">
    <w:nsid w:val="629402F4"/>
    <w:multiLevelType w:val="multilevel"/>
    <w:tmpl w:val="629402F4"/>
    <w:lvl w:ilvl="0" w:tentative="1">
      <w:start w:val="1"/>
      <w:numFmt w:val="decimal"/>
      <w:lvlText w:val="3.%1"/>
      <w:lvlJc w:val="left"/>
      <w:pPr>
        <w:ind w:left="777"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87781897">
    <w:nsid w:val="11273409"/>
    <w:multiLevelType w:val="multilevel"/>
    <w:tmpl w:val="11273409"/>
    <w:lvl w:ilvl="0" w:tentative="1">
      <w:start w:val="1"/>
      <w:numFmt w:val="decimal"/>
      <w:lvlText w:val="7.%1"/>
      <w:lvlJc w:val="left"/>
      <w:pPr>
        <w:ind w:left="10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3812762">
    <w:nsid w:val="0892689A"/>
    <w:multiLevelType w:val="multilevel"/>
    <w:tmpl w:val="0892689A"/>
    <w:lvl w:ilvl="0" w:tentative="1">
      <w:start w:val="1"/>
      <w:numFmt w:val="decimal"/>
      <w:lvlText w:val="6.%1"/>
      <w:lvlJc w:val="left"/>
      <w:pPr>
        <w:ind w:left="10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96115971">
    <w:nsid w:val="0BB07E03"/>
    <w:multiLevelType w:val="multilevel"/>
    <w:tmpl w:val="0BB07E03"/>
    <w:lvl w:ilvl="0" w:tentative="1">
      <w:start w:val="1"/>
      <w:numFmt w:val="decimal"/>
      <w:lvlText w:val="9.%1"/>
      <w:lvlJc w:val="left"/>
      <w:pPr>
        <w:ind w:left="10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594097956"/>
  </w:num>
  <w:num w:numId="2">
    <w:abstractNumId w:val="1653867252"/>
  </w:num>
  <w:num w:numId="3">
    <w:abstractNumId w:val="512037502"/>
  </w:num>
  <w:num w:numId="4">
    <w:abstractNumId w:val="143812762"/>
  </w:num>
  <w:num w:numId="5">
    <w:abstractNumId w:val="382943692"/>
  </w:num>
  <w:num w:numId="6">
    <w:abstractNumId w:val="287781897"/>
  </w:num>
  <w:num w:numId="7">
    <w:abstractNumId w:val="839589741"/>
  </w:num>
  <w:num w:numId="8">
    <w:abstractNumId w:val="196115971"/>
  </w:num>
  <w:num w:numId="9">
    <w:abstractNumId w:val="1369643605"/>
  </w:num>
  <w:num w:numId="10">
    <w:abstractNumId w:val="1419404300"/>
  </w:num>
  <w:num w:numId="11">
    <w:abstractNumId w:val="44469359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504B70"/>
    <w:rsid w:val="000F0645"/>
    <w:rsid w:val="0019409E"/>
    <w:rsid w:val="0021590A"/>
    <w:rsid w:val="0032241F"/>
    <w:rsid w:val="00386399"/>
    <w:rsid w:val="00394336"/>
    <w:rsid w:val="003C4137"/>
    <w:rsid w:val="00467A93"/>
    <w:rsid w:val="004B0F99"/>
    <w:rsid w:val="00504B70"/>
    <w:rsid w:val="00540063"/>
    <w:rsid w:val="0065045C"/>
    <w:rsid w:val="0066779E"/>
    <w:rsid w:val="006A01A9"/>
    <w:rsid w:val="007D7BF5"/>
    <w:rsid w:val="00883C85"/>
    <w:rsid w:val="008A6DEC"/>
    <w:rsid w:val="009F1C8C"/>
    <w:rsid w:val="00A86873"/>
    <w:rsid w:val="00A94FB2"/>
    <w:rsid w:val="00B07D22"/>
    <w:rsid w:val="00B21AFB"/>
    <w:rsid w:val="00BF6D5D"/>
    <w:rsid w:val="00C216BE"/>
    <w:rsid w:val="00F71BC7"/>
    <w:rsid w:val="00F85235"/>
    <w:rsid w:val="00F9771A"/>
    <w:rsid w:val="00FB6D6F"/>
    <w:rsid w:val="616970E0"/>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uiPriority="0" w:name="Body Text Indent 2"/>
    <w:lsdException w:uiPriority="0" w:name="Body Text Indent 3"/>
    <w:lsdException w:uiPriority="0" w:name="Block Text"/>
    <w:lsdException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textAlignment w:val="baseline"/>
    </w:pPr>
    <w:rPr>
      <w:rFonts w:ascii="Times New Roman" w:hAnsi="Times New Roman" w:eastAsia="宋体" w:cs="Times New Roman"/>
      <w:kern w:val="0"/>
      <w:sz w:val="21"/>
      <w:szCs w:val="20"/>
      <w:lang w:eastAsia="en-US"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3">
    <w:name w:val="Body Text 3"/>
    <w:basedOn w:val="1"/>
    <w:link w:val="19"/>
    <w:uiPriority w:val="0"/>
    <w:pPr>
      <w:spacing w:after="120"/>
    </w:pPr>
    <w:rPr>
      <w:sz w:val="16"/>
      <w:szCs w:val="16"/>
    </w:rPr>
  </w:style>
  <w:style w:type="paragraph" w:styleId="4">
    <w:name w:val="Balloon Text"/>
    <w:basedOn w:val="1"/>
    <w:link w:val="22"/>
    <w:unhideWhenUsed/>
    <w:uiPriority w:val="99"/>
    <w:rPr>
      <w:sz w:val="18"/>
      <w:szCs w:val="18"/>
    </w:rPr>
  </w:style>
  <w:style w:type="paragraph" w:styleId="5">
    <w:name w:val="footer"/>
    <w:basedOn w:val="1"/>
    <w:link w:val="17"/>
    <w:uiPriority w:val="99"/>
    <w:pPr>
      <w:tabs>
        <w:tab w:val="center" w:pos="4320"/>
        <w:tab w:val="right" w:pos="8640"/>
      </w:tabs>
    </w:pPr>
  </w:style>
  <w:style w:type="paragraph" w:styleId="6">
    <w:name w:val="header"/>
    <w:basedOn w:val="1"/>
    <w:link w:val="18"/>
    <w:uiPriority w:val="0"/>
    <w:pPr>
      <w:tabs>
        <w:tab w:val="center" w:pos="4320"/>
        <w:tab w:val="right" w:pos="8640"/>
      </w:tabs>
    </w:pPr>
  </w:style>
  <w:style w:type="paragraph" w:styleId="7">
    <w:name w:val="toc 1"/>
    <w:basedOn w:val="1"/>
    <w:next w:val="1"/>
    <w:uiPriority w:val="39"/>
    <w:pPr>
      <w:widowControl w:val="0"/>
      <w:tabs>
        <w:tab w:val="left" w:pos="840"/>
        <w:tab w:val="right" w:leader="dot" w:pos="10080"/>
      </w:tabs>
      <w:adjustRightInd/>
      <w:spacing w:line="360" w:lineRule="auto"/>
      <w:ind w:left="210"/>
      <w:textAlignment w:val="auto"/>
    </w:pPr>
    <w:rPr>
      <w:b/>
      <w:bCs/>
      <w:caps/>
      <w:kern w:val="2"/>
      <w:lang w:val="en-US" w:eastAsia="zh-CN"/>
    </w:rPr>
  </w:style>
  <w:style w:type="character" w:styleId="9">
    <w:name w:val="page number"/>
    <w:basedOn w:val="8"/>
    <w:uiPriority w:val="0"/>
    <w:rPr/>
  </w:style>
  <w:style w:type="character" w:styleId="10">
    <w:name w:val="Hyperlink"/>
    <w:uiPriority w:val="99"/>
    <w:rPr>
      <w:color w:val="0000FF"/>
      <w:u w:val="single"/>
    </w:rPr>
  </w:style>
  <w:style w:type="paragraph" w:customStyle="1" w:styleId="12">
    <w:name w:val="List Paragraph"/>
    <w:basedOn w:val="1"/>
    <w:qFormat/>
    <w:uiPriority w:val="34"/>
    <w:pPr>
      <w:widowControl w:val="0"/>
      <w:adjustRightInd/>
      <w:ind w:firstLine="420" w:firstLineChars="200"/>
      <w:jc w:val="both"/>
      <w:textAlignment w:val="auto"/>
    </w:pPr>
    <w:rPr>
      <w:rFonts w:ascii="Calibri" w:hAnsi="Calibri"/>
      <w:kern w:val="2"/>
      <w:szCs w:val="22"/>
      <w:lang w:val="en-US" w:eastAsia="zh-CN"/>
    </w:rPr>
  </w:style>
  <w:style w:type="paragraph" w:customStyle="1" w:styleId="13">
    <w:name w:val="TOC Heading"/>
    <w:basedOn w:val="2"/>
    <w:next w:val="1"/>
    <w:qFormat/>
    <w:uiPriority w:val="39"/>
    <w:pPr>
      <w:spacing w:before="0" w:after="0" w:line="360" w:lineRule="auto"/>
      <w:outlineLvl w:val="9"/>
    </w:pPr>
    <w:rPr>
      <w:sz w:val="22"/>
    </w:rPr>
  </w:style>
  <w:style w:type="paragraph" w:customStyle="1" w:styleId="14">
    <w:name w:val="Text"/>
    <w:basedOn w:val="1"/>
    <w:link w:val="21"/>
    <w:uiPriority w:val="0"/>
    <w:pPr>
      <w:adjustRightInd/>
      <w:spacing w:before="120"/>
      <w:jc w:val="both"/>
      <w:textAlignment w:val="auto"/>
    </w:pPr>
    <w:rPr>
      <w:rFonts w:ascii="Calibri" w:hAnsi="Calibri" w:eastAsia="宋体"/>
      <w:kern w:val="2"/>
      <w:sz w:val="24"/>
      <w:szCs w:val="22"/>
      <w:lang w:val="en-US"/>
    </w:rPr>
  </w:style>
  <w:style w:type="paragraph" w:customStyle="1" w:styleId="15">
    <w:name w:val="Table text"/>
    <w:basedOn w:val="1"/>
    <w:qFormat/>
    <w:uiPriority w:val="0"/>
    <w:pPr>
      <w:adjustRightInd/>
      <w:spacing w:before="120" w:after="120"/>
      <w:jc w:val="both"/>
      <w:textAlignment w:val="auto"/>
    </w:pPr>
    <w:rPr>
      <w:lang w:val="en-US"/>
    </w:rPr>
  </w:style>
  <w:style w:type="character" w:customStyle="1" w:styleId="16">
    <w:name w:val="页眉 Char"/>
    <w:basedOn w:val="8"/>
    <w:semiHidden/>
    <w:uiPriority w:val="99"/>
    <w:rPr>
      <w:rFonts w:ascii="Times New Roman" w:hAnsi="Times New Roman" w:eastAsia="宋体" w:cs="Times New Roman"/>
      <w:kern w:val="0"/>
      <w:sz w:val="18"/>
      <w:szCs w:val="18"/>
      <w:lang w:eastAsia="en-US"/>
    </w:rPr>
  </w:style>
  <w:style w:type="character" w:customStyle="1" w:styleId="17">
    <w:name w:val="页脚 Char"/>
    <w:basedOn w:val="8"/>
    <w:link w:val="5"/>
    <w:uiPriority w:val="99"/>
    <w:rPr>
      <w:rFonts w:ascii="Times New Roman" w:hAnsi="Times New Roman" w:eastAsia="宋体" w:cs="Times New Roman"/>
      <w:kern w:val="0"/>
      <w:szCs w:val="20"/>
      <w:lang w:eastAsia="en-US"/>
    </w:rPr>
  </w:style>
  <w:style w:type="character" w:customStyle="1" w:styleId="18">
    <w:name w:val="页眉 Char2"/>
    <w:aliases w:val="页眉 Char1 Char,页眉 Char Char Char,页眉 Char1 Char Char Char,页眉 Char Char Char Char Char,页眉 Char1 Char Char Char Char Char,页眉 Char Char Char Char Char Char Char,Header Char Char Char Char Char Char Char Char,页眉 Char Char1 Char Char Char"/>
    <w:link w:val="6"/>
    <w:uiPriority w:val="0"/>
    <w:rPr>
      <w:rFonts w:ascii="Times New Roman" w:hAnsi="Times New Roman" w:eastAsia="宋体" w:cs="Times New Roman"/>
      <w:kern w:val="0"/>
      <w:szCs w:val="20"/>
      <w:lang w:eastAsia="en-US"/>
    </w:rPr>
  </w:style>
  <w:style w:type="character" w:customStyle="1" w:styleId="19">
    <w:name w:val="正文文本 3 Char"/>
    <w:basedOn w:val="8"/>
    <w:link w:val="3"/>
    <w:uiPriority w:val="0"/>
    <w:rPr>
      <w:rFonts w:ascii="Times New Roman" w:hAnsi="Times New Roman" w:eastAsia="宋体" w:cs="Times New Roman"/>
      <w:kern w:val="0"/>
      <w:sz w:val="16"/>
      <w:szCs w:val="16"/>
      <w:lang w:eastAsia="en-US"/>
    </w:rPr>
  </w:style>
  <w:style w:type="character" w:customStyle="1" w:styleId="20">
    <w:name w:val="标题 1 Char"/>
    <w:basedOn w:val="8"/>
    <w:link w:val="2"/>
    <w:uiPriority w:val="9"/>
    <w:rPr>
      <w:rFonts w:ascii="Times New Roman" w:hAnsi="Times New Roman" w:eastAsia="宋体" w:cs="Times New Roman"/>
      <w:b/>
      <w:bCs/>
      <w:kern w:val="44"/>
      <w:sz w:val="44"/>
      <w:szCs w:val="44"/>
      <w:lang w:eastAsia="en-US"/>
    </w:rPr>
  </w:style>
  <w:style w:type="character" w:customStyle="1" w:styleId="21">
    <w:name w:val="Text Char"/>
    <w:link w:val="14"/>
    <w:locked/>
    <w:uiPriority w:val="0"/>
    <w:rPr>
      <w:sz w:val="24"/>
      <w:lang w:eastAsia="en-US"/>
    </w:rPr>
  </w:style>
  <w:style w:type="character" w:customStyle="1" w:styleId="22">
    <w:name w:val="批注框文本 Char"/>
    <w:basedOn w:val="8"/>
    <w:link w:val="4"/>
    <w:semiHidden/>
    <w:uiPriority w:val="99"/>
    <w:rPr>
      <w:rFonts w:ascii="Times New Roman" w:hAnsi="Times New Roman" w:eastAsia="宋体" w:cs="Times New Roman"/>
      <w:kern w:val="0"/>
      <w:sz w:val="18"/>
      <w:szCs w:val="18"/>
      <w:lang w:eastAsia="en-US"/>
    </w:r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11</Pages>
  <Words>694</Words>
  <Characters>3957</Characters>
  <Lines>32</Lines>
  <Paragraphs>9</Paragraphs>
  <TotalTime>0</TotalTime>
  <ScaleCrop>false</ScaleCrop>
  <LinksUpToDate>false</LinksUpToDate>
  <CharactersWithSpaces>0</CharactersWithSpaces>
  <Application>WPS Office 专业版_9.1.0.4798_{F1E327BC-269C-435d-A152-05C5408002CA}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2020-06-08T01:14:00Z</dcterms:created>
  <dc:creator>Administrator</dc:creator>
  <cp:lastModifiedBy>汪洋</cp:lastModifiedBy>
  <dcterms:modified xsi:type="dcterms:W3CDTF">2020-07-15T02:24:13Z</dcterms:modified>
  <dc:title>工程技术部SPF楼高压配电设备用户需求说明（URS）</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ies>
</file>