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抗体研究室紫外分光光度计</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抗体研究室紫外分光光度计</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抗体研究室紫外分光光度计</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0"/>
        <w:numPr>
          <w:ilvl w:val="0"/>
          <w:numId w:val="5"/>
        </w:numPr>
        <w:spacing w:after="120" w:line="360" w:lineRule="auto"/>
        <w:ind w:firstLineChars="0"/>
        <w:contextualSpacing/>
        <w:rPr>
          <w:color w:val="000000"/>
          <w:szCs w:val="21"/>
        </w:rPr>
      </w:pPr>
      <w:permStart w:id="5" w:edGrp="everyone"/>
      <w:r>
        <w:rPr>
          <w:rFonts w:hint="eastAsia"/>
          <w:color w:val="000000"/>
          <w:szCs w:val="21"/>
        </w:rPr>
        <w:t>产品应满足相关国家标准和行业标准，若本URS所提要求与标准不一致，应按照高的标准执行。</w:t>
      </w:r>
    </w:p>
    <w:p>
      <w:pPr>
        <w:pStyle w:val="34"/>
        <w:numPr>
          <w:ilvl w:val="0"/>
          <w:numId w:val="5"/>
        </w:numPr>
        <w:spacing w:before="0" w:line="360" w:lineRule="auto"/>
        <w:ind w:left="777"/>
        <w:jc w:val="left"/>
        <w:rPr>
          <w:iCs/>
          <w:color w:val="000000"/>
          <w:szCs w:val="21"/>
          <w:lang w:eastAsia="zh-CN"/>
        </w:rPr>
      </w:pPr>
      <w:r>
        <w:rPr>
          <w:iCs/>
          <w:color w:val="000000"/>
          <w:szCs w:val="21"/>
          <w:lang w:eastAsia="zh-CN"/>
        </w:rPr>
        <w:t>中国药典</w:t>
      </w:r>
      <w:r>
        <w:rPr>
          <w:iCs/>
          <w:color w:val="000000"/>
          <w:szCs w:val="21"/>
        </w:rPr>
        <w:t>2020年版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color w:val="000000"/>
          <w:szCs w:val="21"/>
          <w:lang w:eastAsia="zh-CN"/>
        </w:rPr>
      </w:pPr>
      <w:permStart w:id="6" w:edGrp="everyone"/>
      <w:r>
        <w:rPr>
          <w:iCs/>
          <w:color w:val="000000"/>
          <w:szCs w:val="21"/>
          <w:lang w:eastAsia="zh-CN"/>
        </w:rPr>
        <w:t>电气安全应符合GB4793.1和GB4793.4的要求。</w:t>
      </w:r>
    </w:p>
    <w:permEnd w:id="6"/>
    <w:p>
      <w:pPr>
        <w:pStyle w:val="34"/>
        <w:spacing w:before="0" w:line="360" w:lineRule="auto"/>
        <w:ind w:left="357"/>
        <w:jc w:val="left"/>
        <w:rPr>
          <w:i/>
          <w:szCs w:val="21"/>
          <w:lang w:eastAsia="zh-CN"/>
        </w:rPr>
      </w:pPr>
    </w:p>
    <w:p>
      <w:pPr>
        <w:pStyle w:val="34"/>
        <w:spacing w:before="0" w:line="360" w:lineRule="auto"/>
        <w:ind w:left="357"/>
        <w:jc w:val="left"/>
        <w:rPr>
          <w:szCs w:val="21"/>
          <w:lang w:eastAsia="zh-CN"/>
        </w:rPr>
      </w:pPr>
      <w:permStart w:id="7" w:edGrp="everyone"/>
      <w:bookmarkStart w:id="48" w:name="_GoBack"/>
      <w:bookmarkEnd w:id="48"/>
    </w:p>
    <w:permEnd w:id="7"/>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rFonts w:hint="eastAsia"/>
          <w:szCs w:val="21"/>
          <w:lang w:eastAsia="zh-CN"/>
        </w:rPr>
        <w:t>紫外分光光度计是用于测定紫外-可见光光吸收的精密分析仪器，可用于蛋白含量测定及其他基于紫外可见分光光度法原理的测定试验</w:t>
      </w:r>
      <w:r>
        <w:rPr>
          <w:rFonts w:hint="eastAsia" w:ascii="Arial" w:hAnsi="Arial" w:cs="Arial"/>
          <w:color w:val="000000"/>
          <w:szCs w:val="21"/>
          <w:lang w:eastAsia="zh-CN"/>
        </w:rPr>
        <w:t>，</w:t>
      </w:r>
      <w:r>
        <w:rPr>
          <w:rFonts w:hint="eastAsia"/>
          <w:szCs w:val="21"/>
          <w:lang w:eastAsia="zh-CN"/>
        </w:rPr>
        <w:t>抗体研究室根据需求请购一台紫外分光光度计</w:t>
      </w:r>
      <w:r>
        <w:rPr>
          <w:iCs/>
          <w:color w:val="000000"/>
          <w:szCs w:val="21"/>
          <w:lang w:eastAsia="zh-CN"/>
        </w:rPr>
        <w:t>。</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4" w:name="OLE_LINK1"/>
            <w:bookmarkStart w:id="25"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0" w:edGrp="everyone"/>
          </w:p>
        </w:tc>
        <w:tc>
          <w:tcPr>
            <w:tcW w:w="6970" w:type="dxa"/>
            <w:vAlign w:val="center"/>
          </w:tcPr>
          <w:p>
            <w:pPr>
              <w:spacing w:line="276" w:lineRule="auto"/>
              <w:jc w:val="both"/>
              <w:rPr>
                <w:i/>
                <w:color w:val="0070C0"/>
                <w:szCs w:val="21"/>
                <w:lang w:eastAsia="zh-CN"/>
              </w:rPr>
            </w:pPr>
            <w:r>
              <w:rPr>
                <w:rFonts w:hint="eastAsia"/>
                <w:szCs w:val="21"/>
                <w:lang w:eastAsia="zh-CN"/>
              </w:rPr>
              <w:t>综合楼A区二楼综合实验室</w:t>
            </w:r>
          </w:p>
        </w:tc>
        <w:tc>
          <w:tcPr>
            <w:tcW w:w="2082" w:type="dxa"/>
            <w:vAlign w:val="center"/>
          </w:tcPr>
          <w:p>
            <w:pPr>
              <w:jc w:val="both"/>
              <w:rPr>
                <w:i/>
                <w:szCs w:val="21"/>
                <w:lang w:eastAsia="zh-CN"/>
              </w:rPr>
            </w:pPr>
            <w:r>
              <w:rPr>
                <w:rFonts w:hint="eastAsia"/>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1" w:edGrp="everyone"/>
          </w:p>
        </w:tc>
        <w:tc>
          <w:tcPr>
            <w:tcW w:w="6970" w:type="dxa"/>
            <w:vAlign w:val="center"/>
          </w:tcPr>
          <w:p>
            <w:pPr>
              <w:spacing w:line="276" w:lineRule="auto"/>
              <w:jc w:val="both"/>
              <w:rPr>
                <w:iCs/>
                <w:szCs w:val="21"/>
                <w:lang w:eastAsia="zh-CN"/>
              </w:rPr>
            </w:pPr>
            <w:r>
              <w:rPr>
                <w:rFonts w:hint="eastAsia"/>
                <w:iCs/>
                <w:szCs w:val="21"/>
                <w:lang w:val="en-US" w:eastAsia="zh-CN"/>
              </w:rPr>
              <w:t>可放置于实验台桌面</w:t>
            </w:r>
          </w:p>
        </w:tc>
        <w:tc>
          <w:tcPr>
            <w:tcW w:w="2082" w:type="dxa"/>
            <w:vAlign w:val="center"/>
          </w:tcPr>
          <w:p>
            <w:pPr>
              <w:jc w:val="both"/>
              <w:rPr>
                <w:szCs w:val="21"/>
                <w:lang w:eastAsia="zh-CN"/>
              </w:rPr>
            </w:pPr>
            <w:r>
              <w:rPr>
                <w:rFonts w:hint="eastAsia"/>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2" w:edGrp="everyone"/>
          </w:p>
        </w:tc>
        <w:tc>
          <w:tcPr>
            <w:tcW w:w="6970" w:type="dxa"/>
            <w:vAlign w:val="center"/>
          </w:tcPr>
          <w:p>
            <w:pPr>
              <w:spacing w:line="276" w:lineRule="auto"/>
              <w:jc w:val="both"/>
              <w:rPr>
                <w:color w:val="000000"/>
                <w:szCs w:val="21"/>
                <w:lang w:val="en-US" w:eastAsia="zh-CN"/>
              </w:rPr>
            </w:pPr>
            <w:r>
              <w:rPr>
                <w:color w:val="000000"/>
                <w:szCs w:val="21"/>
                <w:lang w:eastAsia="zh-CN"/>
              </w:rPr>
              <w:t>设备的形式尺寸应符合制造商说明书及技术文件规定的要求。</w:t>
            </w:r>
          </w:p>
        </w:tc>
        <w:tc>
          <w:tcPr>
            <w:tcW w:w="2082" w:type="dxa"/>
            <w:vAlign w:val="center"/>
          </w:tcPr>
          <w:p>
            <w:pPr>
              <w:jc w:val="both"/>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eastAsia="zh-CN"/>
              </w:rPr>
            </w:pPr>
            <w:r>
              <w:rPr>
                <w:color w:val="000000"/>
                <w:szCs w:val="21"/>
                <w:lang w:eastAsia="zh-CN"/>
              </w:rPr>
              <w:t>供应商必须给出设备选型方案及相应附件选型方案，并交给我公司使用部门及工程类部门审核。</w:t>
            </w:r>
          </w:p>
        </w:tc>
        <w:tc>
          <w:tcPr>
            <w:tcW w:w="2082" w:type="dxa"/>
            <w:vAlign w:val="center"/>
          </w:tcPr>
          <w:p>
            <w:pPr>
              <w:jc w:val="both"/>
              <w:rPr>
                <w:szCs w:val="21"/>
                <w:lang w:eastAsia="zh-CN"/>
              </w:rPr>
            </w:pPr>
            <w:r>
              <w:rPr>
                <w:rFonts w:hint="eastAsia"/>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3" w:edGrp="everyone"/>
          </w:p>
        </w:tc>
        <w:tc>
          <w:tcPr>
            <w:tcW w:w="6970" w:type="dxa"/>
            <w:vAlign w:val="center"/>
          </w:tcPr>
          <w:p>
            <w:pPr>
              <w:spacing w:line="276" w:lineRule="auto"/>
              <w:jc w:val="both"/>
              <w:rPr>
                <w:i/>
                <w:color w:val="0070C0"/>
                <w:szCs w:val="21"/>
                <w:lang w:eastAsia="zh-CN"/>
              </w:rPr>
            </w:pPr>
            <w:r>
              <w:rPr>
                <w:rFonts w:hint="eastAsia"/>
                <w:szCs w:val="21"/>
                <w:lang w:val="en-US" w:eastAsia="zh-CN"/>
              </w:rPr>
              <w:t>重量（kg）不超过其房间工作台的承重要求。</w:t>
            </w:r>
          </w:p>
        </w:tc>
        <w:tc>
          <w:tcPr>
            <w:tcW w:w="2082" w:type="dxa"/>
            <w:vAlign w:val="center"/>
          </w:tcPr>
          <w:p>
            <w:pPr>
              <w:jc w:val="both"/>
              <w:rPr>
                <w:szCs w:val="21"/>
                <w:lang w:eastAsia="zh-CN"/>
              </w:rPr>
            </w:pPr>
            <w:r>
              <w:rPr>
                <w:rFonts w:hint="eastAsia"/>
                <w:iCs/>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ind w:left="426"/>
              <w:rPr>
                <w:szCs w:val="21"/>
              </w:rPr>
            </w:pPr>
            <w:permStart w:id="14" w:edGrp="everyone"/>
          </w:p>
        </w:tc>
        <w:tc>
          <w:tcPr>
            <w:tcW w:w="9052" w:type="dxa"/>
            <w:gridSpan w:val="2"/>
            <w:vAlign w:val="center"/>
          </w:tcPr>
          <w:p>
            <w:pPr>
              <w:jc w:val="both"/>
              <w:rPr>
                <w:szCs w:val="21"/>
                <w:lang w:eastAsia="zh-CN"/>
              </w:rPr>
            </w:pPr>
            <w:r>
              <w:rPr>
                <w:rFonts w:hint="eastAsia"/>
                <w:szCs w:val="21"/>
                <w:lang w:eastAsia="zh-CN"/>
              </w:rPr>
              <w:t>N</w:t>
            </w:r>
            <w:r>
              <w:rPr>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5" w:edGrp="everyone"/>
          </w:p>
        </w:tc>
        <w:tc>
          <w:tcPr>
            <w:tcW w:w="6970" w:type="dxa"/>
            <w:vAlign w:val="center"/>
          </w:tcPr>
          <w:p>
            <w:pPr>
              <w:spacing w:line="276" w:lineRule="auto"/>
              <w:jc w:val="both"/>
              <w:rPr>
                <w:szCs w:val="21"/>
                <w:lang w:eastAsia="zh-CN"/>
              </w:rPr>
            </w:pPr>
            <w:r>
              <w:rPr>
                <w:iCs/>
                <w:color w:val="000000"/>
                <w:lang w:eastAsia="zh-CN"/>
              </w:rPr>
              <w:t>工作环境温</w:t>
            </w:r>
            <w:r>
              <w:rPr>
                <w:color w:val="000000"/>
                <w:lang w:eastAsia="zh-CN"/>
              </w:rPr>
              <w:t>度：能适应10</w:t>
            </w:r>
            <w:r>
              <w:rPr>
                <w:rFonts w:hint="eastAsia" w:ascii="宋体" w:hAnsi="宋体" w:cs="宋体"/>
                <w:color w:val="000000"/>
                <w:lang w:eastAsia="zh-CN"/>
              </w:rPr>
              <w:t>℃</w:t>
            </w:r>
            <w:r>
              <w:rPr>
                <w:color w:val="000000"/>
                <w:lang w:eastAsia="zh-CN"/>
              </w:rPr>
              <w:t>～32</w:t>
            </w:r>
            <w:r>
              <w:rPr>
                <w:rFonts w:hint="eastAsia" w:ascii="宋体" w:hAnsi="宋体" w:cs="宋体"/>
                <w:color w:val="000000"/>
                <w:lang w:eastAsia="zh-CN"/>
              </w:rPr>
              <w:t>℃</w:t>
            </w:r>
            <w:r>
              <w:rPr>
                <w:color w:val="000000"/>
                <w:lang w:eastAsia="zh-CN"/>
              </w:rPr>
              <w:t>环境</w:t>
            </w:r>
          </w:p>
        </w:tc>
        <w:tc>
          <w:tcPr>
            <w:tcW w:w="2082" w:type="dxa"/>
            <w:vAlign w:val="center"/>
          </w:tcPr>
          <w:p>
            <w:pPr>
              <w:jc w:val="both"/>
              <w:rPr>
                <w:szCs w:val="21"/>
                <w:lang w:eastAsia="zh-CN"/>
              </w:rPr>
            </w:pPr>
            <w:r>
              <w:rPr>
                <w:rFonts w:hint="eastAsia"/>
                <w:iCs/>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6" w:edGrp="everyone"/>
          </w:p>
        </w:tc>
        <w:tc>
          <w:tcPr>
            <w:tcW w:w="6970" w:type="dxa"/>
            <w:vAlign w:val="center"/>
          </w:tcPr>
          <w:p>
            <w:pPr>
              <w:spacing w:line="276" w:lineRule="auto"/>
              <w:jc w:val="both"/>
              <w:rPr>
                <w:szCs w:val="21"/>
                <w:lang w:eastAsia="zh-CN"/>
              </w:rPr>
            </w:pPr>
            <w:r>
              <w:rPr>
                <w:color w:val="000000"/>
                <w:lang w:eastAsia="zh-CN"/>
              </w:rPr>
              <w:t>工作环境湿度：至少包括45%～65%</w:t>
            </w:r>
          </w:p>
        </w:tc>
        <w:tc>
          <w:tcPr>
            <w:tcW w:w="2082" w:type="dxa"/>
            <w:vAlign w:val="center"/>
          </w:tcPr>
          <w:p>
            <w:pPr>
              <w:jc w:val="both"/>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lang w:eastAsia="zh-CN"/>
              </w:rPr>
            </w:pPr>
            <w:r>
              <w:rPr>
                <w:rFonts w:hint="eastAsia"/>
                <w:color w:val="000000"/>
                <w:lang w:eastAsia="zh-CN"/>
              </w:rPr>
              <w:t>工作环境洁净级别：控制区</w:t>
            </w:r>
          </w:p>
        </w:tc>
        <w:tc>
          <w:tcPr>
            <w:tcW w:w="2082" w:type="dxa"/>
            <w:vAlign w:val="center"/>
          </w:tcPr>
          <w:p>
            <w:pPr>
              <w:jc w:val="both"/>
              <w:rPr>
                <w:iCs/>
                <w:szCs w:val="21"/>
                <w:lang w:eastAsia="zh-CN"/>
              </w:rPr>
            </w:pPr>
            <w:r>
              <w:rPr>
                <w:rFonts w:hint="eastAsia"/>
                <w:iCs/>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7" w:edGrp="everyone"/>
          </w:p>
        </w:tc>
        <w:tc>
          <w:tcPr>
            <w:tcW w:w="6970" w:type="dxa"/>
            <w:vAlign w:val="center"/>
          </w:tcPr>
          <w:p>
            <w:pPr>
              <w:spacing w:line="276" w:lineRule="auto"/>
              <w:jc w:val="both"/>
              <w:rPr>
                <w:color w:val="000000"/>
                <w:lang w:eastAsia="zh-CN"/>
              </w:rPr>
            </w:pPr>
            <w:r>
              <w:rPr>
                <w:color w:val="000000"/>
                <w:lang w:eastAsia="zh-CN"/>
              </w:rPr>
              <w:t>交流电电源：～220±10%V，50±1Hz</w:t>
            </w:r>
          </w:p>
        </w:tc>
        <w:tc>
          <w:tcPr>
            <w:tcW w:w="2082" w:type="dxa"/>
            <w:vAlign w:val="center"/>
          </w:tcPr>
          <w:p>
            <w:pPr>
              <w:jc w:val="both"/>
              <w:rPr>
                <w:szCs w:val="21"/>
                <w:lang w:eastAsia="zh-CN"/>
              </w:rPr>
            </w:pPr>
            <w:r>
              <w:rPr>
                <w:rFonts w:hint="eastAsia"/>
                <w:iCs/>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8" w:edGrp="everyone"/>
          </w:p>
        </w:tc>
        <w:tc>
          <w:tcPr>
            <w:tcW w:w="6970" w:type="dxa"/>
            <w:vAlign w:val="center"/>
          </w:tcPr>
          <w:p>
            <w:pPr>
              <w:spacing w:line="276" w:lineRule="auto"/>
              <w:jc w:val="both"/>
              <w:rPr>
                <w:i/>
                <w:color w:val="000000"/>
                <w:lang w:eastAsia="zh-CN"/>
              </w:rPr>
            </w:pPr>
            <w:r>
              <w:rPr>
                <w:rFonts w:hint="eastAsia"/>
                <w:lang w:eastAsia="zh-CN"/>
              </w:rPr>
              <w:t>整机外壳应光滑易清洁</w:t>
            </w:r>
          </w:p>
        </w:tc>
        <w:tc>
          <w:tcPr>
            <w:tcW w:w="2082" w:type="dxa"/>
            <w:vAlign w:val="center"/>
          </w:tcPr>
          <w:p>
            <w:pPr>
              <w:jc w:val="both"/>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：至少应有以下永久贴牢和清楚易认的标识：</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pStyle w:val="8"/>
              <w:spacing w:line="276" w:lineRule="auto"/>
              <w:rPr>
                <w:color w:val="0070C0"/>
                <w:sz w:val="21"/>
                <w:szCs w:val="21"/>
                <w:lang w:eastAsia="zh-CN"/>
              </w:rPr>
            </w:pPr>
            <w:r>
              <w:rPr>
                <w:color w:val="000000"/>
                <w:sz w:val="21"/>
                <w:szCs w:val="21"/>
              </w:rPr>
              <w:t>（</w:t>
            </w:r>
            <w:r>
              <w:rPr>
                <w:color w:val="000000"/>
                <w:sz w:val="21"/>
                <w:szCs w:val="21"/>
                <w:lang w:eastAsia="zh-CN"/>
              </w:rPr>
              <w:t>6</w:t>
            </w:r>
            <w:r>
              <w:rPr>
                <w:color w:val="000000"/>
                <w:sz w:val="21"/>
                <w:szCs w:val="21"/>
              </w:rPr>
              <w:t>）安全标识。</w:t>
            </w:r>
          </w:p>
        </w:tc>
        <w:tc>
          <w:tcPr>
            <w:tcW w:w="2082" w:type="dxa"/>
            <w:vAlign w:val="center"/>
          </w:tcPr>
          <w:p>
            <w:pPr>
              <w:jc w:val="both"/>
              <w:rPr>
                <w:szCs w:val="21"/>
                <w:lang w:eastAsia="zh-CN"/>
              </w:rPr>
            </w:pPr>
            <w:r>
              <w:rPr>
                <w:rFonts w:hint="eastAsia"/>
                <w:iCs/>
                <w:szCs w:val="21"/>
                <w:lang w:eastAsia="zh-CN"/>
              </w:rPr>
              <w:t>关键</w:t>
            </w:r>
          </w:p>
        </w:tc>
      </w:tr>
      <w:bookmarkEnd w:id="24"/>
      <w:bookmarkEnd w:id="25"/>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4"/>
        <w:spacing w:before="0" w:line="360" w:lineRule="auto"/>
        <w:ind w:left="357"/>
        <w:jc w:val="left"/>
        <w:rPr>
          <w:bCs/>
          <w:i/>
          <w:color w:val="4472C4"/>
          <w:kern w:val="44"/>
          <w:szCs w:val="21"/>
          <w:lang w:eastAsia="zh-CN"/>
        </w:rPr>
      </w:pPr>
      <w:permStart w:id="19" w:edGrp="everyone"/>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w:t>
            </w:r>
            <w:permEnd w:id="19"/>
            <w:r>
              <w:rPr>
                <w:b/>
                <w:szCs w:val="21"/>
              </w:rPr>
              <w:t>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ind w:left="426"/>
              <w:rPr>
                <w:szCs w:val="21"/>
                <w:lang w:eastAsia="zh-CN"/>
              </w:rPr>
            </w:pPr>
            <w:permStart w:id="20" w:edGrp="everyone"/>
          </w:p>
        </w:tc>
        <w:tc>
          <w:tcPr>
            <w:tcW w:w="9052" w:type="dxa"/>
            <w:gridSpan w:val="2"/>
            <w:vAlign w:val="center"/>
          </w:tcPr>
          <w:p>
            <w:pPr>
              <w:jc w:val="both"/>
              <w:rPr>
                <w:szCs w:val="21"/>
                <w:lang w:eastAsia="zh-CN"/>
              </w:rPr>
            </w:pPr>
            <w:r>
              <w:rPr>
                <w:rFonts w:hint="eastAsia"/>
                <w:lang w:eastAsia="zh-CN"/>
              </w:rPr>
              <w:t>N</w:t>
            </w:r>
            <w:r>
              <w:rPr>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ind w:left="426"/>
              <w:rPr>
                <w:szCs w:val="21"/>
              </w:rPr>
            </w:pPr>
            <w:permStart w:id="21" w:edGrp="everyone"/>
          </w:p>
        </w:tc>
        <w:tc>
          <w:tcPr>
            <w:tcW w:w="9052" w:type="dxa"/>
            <w:gridSpan w:val="2"/>
            <w:vAlign w:val="center"/>
          </w:tcPr>
          <w:p>
            <w:pPr>
              <w:jc w:val="both"/>
              <w:rPr>
                <w:szCs w:val="21"/>
                <w:lang w:eastAsia="zh-CN"/>
              </w:rPr>
            </w:pPr>
            <w:r>
              <w:rPr>
                <w:rFonts w:hint="eastAsia"/>
                <w:lang w:eastAsia="zh-CN"/>
              </w:rPr>
              <w:t>N</w:t>
            </w:r>
            <w:r>
              <w:rPr>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2" w:edGrp="everyone"/>
          </w:p>
        </w:tc>
        <w:tc>
          <w:tcPr>
            <w:tcW w:w="6970" w:type="dxa"/>
            <w:vAlign w:val="center"/>
          </w:tcPr>
          <w:p>
            <w:r>
              <w:rPr>
                <w:rFonts w:hint="eastAsia"/>
              </w:rPr>
              <w:t>光学系统: 双光束</w:t>
            </w:r>
          </w:p>
        </w:tc>
        <w:tc>
          <w:tcPr>
            <w:tcW w:w="2082" w:type="dxa"/>
            <w:vAlign w:val="center"/>
          </w:tcPr>
          <w:p>
            <w:pPr>
              <w:jc w:val="both"/>
              <w:rPr>
                <w:szCs w:val="21"/>
                <w:lang w:eastAsia="zh-CN"/>
              </w:rPr>
            </w:pPr>
            <w:r>
              <w:rPr>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3" w:edGrp="everyone"/>
          </w:p>
        </w:tc>
        <w:tc>
          <w:tcPr>
            <w:tcW w:w="6970" w:type="dxa"/>
            <w:vAlign w:val="center"/>
          </w:tcPr>
          <w:p>
            <w:pPr>
              <w:rPr>
                <w:lang w:eastAsia="zh-CN"/>
              </w:rPr>
            </w:pPr>
            <w:r>
              <w:rPr>
                <w:rFonts w:hint="eastAsia"/>
                <w:lang w:eastAsia="zh-CN"/>
              </w:rPr>
              <w:t>分光器: 单单色器，象差校正型切尼尔一特纳装置</w:t>
            </w:r>
          </w:p>
        </w:tc>
        <w:tc>
          <w:tcPr>
            <w:tcW w:w="2082" w:type="dxa"/>
            <w:vAlign w:val="center"/>
          </w:tcPr>
          <w:p>
            <w:pPr>
              <w:jc w:val="both"/>
              <w:rPr>
                <w:szCs w:val="21"/>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rPr>
              <w:t>设定波长范围:</w:t>
            </w:r>
            <w:r>
              <w:t xml:space="preserve"> 1</w:t>
            </w:r>
            <w:r>
              <w:rPr>
                <w:rFonts w:hint="eastAsia"/>
              </w:rPr>
              <w:t>85</w:t>
            </w:r>
            <w:r>
              <w:t>~</w:t>
            </w:r>
            <w:r>
              <w:rPr>
                <w:rFonts w:hint="eastAsia"/>
              </w:rPr>
              <w:t>14</w:t>
            </w:r>
            <w:r>
              <w:t>00nm</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lang w:eastAsia="zh-CN"/>
              </w:rPr>
              <w:t>测试波长范围: 185-900nm（</w:t>
            </w:r>
            <w:r>
              <w:rPr>
                <w:rFonts w:hint="eastAsia"/>
              </w:rPr>
              <w:t>配 ISR-2600Plus，可延伸至1400nm）</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b/>
                <w:bCs/>
              </w:rPr>
            </w:pPr>
            <w:r>
              <w:rPr>
                <w:rFonts w:hint="eastAsia"/>
              </w:rPr>
              <w:t>波长准确性: ±0.1nm（656.1nm）</w:t>
            </w:r>
          </w:p>
          <w:p>
            <w:pPr>
              <w:rPr>
                <w:lang w:eastAsia="zh-CN"/>
              </w:rPr>
            </w:pPr>
            <w:r>
              <w:rPr>
                <w:rFonts w:hint="eastAsia"/>
              </w:rPr>
              <w:t>±</w:t>
            </w:r>
            <w:r>
              <w:t>0.3nm</w:t>
            </w:r>
            <w:r>
              <w:rPr>
                <w:rFonts w:hint="eastAsia"/>
              </w:rPr>
              <w:t>（全波段）</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rPr>
              <w:t>衍射光栅刻线数:</w:t>
            </w:r>
            <w:r>
              <w:t xml:space="preserve"> 1</w:t>
            </w:r>
            <w:r>
              <w:rPr>
                <w:rFonts w:hint="eastAsia"/>
              </w:rPr>
              <w:t>3</w:t>
            </w:r>
            <w:r>
              <w:t>00 lines/mm</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rPr>
              <w:t>波长重复精度: ±</w:t>
            </w:r>
            <w:r>
              <w:t>0.</w:t>
            </w:r>
            <w:r>
              <w:rPr>
                <w:rFonts w:hint="eastAsia"/>
              </w:rPr>
              <w:t>05</w:t>
            </w:r>
            <w:r>
              <w:t>nm</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rPr>
              <w:t>波长扫描速度: 波长移动速度: 14000nm/min;  最大扫描速度：</w:t>
            </w:r>
            <w:r>
              <w:rPr>
                <w:rFonts w:hint="eastAsia"/>
                <w:bCs/>
              </w:rPr>
              <w:t>4500nm/min</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lang w:eastAsia="zh-CN"/>
              </w:rPr>
              <w:t>波长设定: 扫描开始波长和扫描结束能够以1nm单位设置；其它为0.1nm单位</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lang w:eastAsia="zh-CN"/>
              </w:rPr>
              <w:t>光源切换波长: 和波长同步自动切换290.0 nm~370.0 nm</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lang w:eastAsia="zh-CN"/>
              </w:rPr>
              <w:t>谱带宽度: 0.1/ 0.2/ 0.5/ 1/ 2/ 5nm  L2/L5（低杂散光模式）</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lang w:eastAsia="zh-CN"/>
              </w:rPr>
              <w:t>测光方式: 双光束测光方式</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rPr>
              <w:t>光度准确性</w:t>
            </w:r>
            <w:r>
              <w:rPr>
                <w:rFonts w:hint="eastAsia"/>
                <w:lang w:eastAsia="zh-CN"/>
              </w:rPr>
              <w:t>：</w:t>
            </w:r>
            <w:r>
              <w:rPr>
                <w:rFonts w:hint="eastAsia"/>
              </w:rPr>
              <w:t>±0.002Abs(0-0.5Abs)</w:t>
            </w:r>
            <w:r>
              <w:rPr>
                <w:rFonts w:hint="eastAsia"/>
                <w:lang w:eastAsia="zh-CN"/>
              </w:rPr>
              <w:t>；</w:t>
            </w:r>
            <w:r>
              <w:rPr>
                <w:rFonts w:hint="eastAsia"/>
              </w:rPr>
              <w:t>±</w:t>
            </w:r>
            <w:r>
              <w:t>0.003Abs(0.5-1Abs)</w:t>
            </w:r>
            <w:r>
              <w:rPr>
                <w:rFonts w:hint="eastAsia"/>
                <w:lang w:eastAsia="zh-CN"/>
              </w:rPr>
              <w:t>；</w:t>
            </w:r>
            <w:r>
              <w:rPr>
                <w:rFonts w:hint="eastAsia"/>
              </w:rPr>
              <w:t>±</w:t>
            </w:r>
            <w:r>
              <w:t>0.006Abs(1.0-2.0Abs)</w:t>
            </w:r>
            <w:r>
              <w:rPr>
                <w:rFonts w:hint="eastAsia"/>
                <w:lang w:eastAsia="zh-CN"/>
              </w:rPr>
              <w:t>；</w:t>
            </w:r>
            <w:r>
              <w:rPr>
                <w:rFonts w:hint="eastAsia"/>
              </w:rPr>
              <w:t>±</w:t>
            </w:r>
            <w:r>
              <w:t>0.</w:t>
            </w:r>
            <w:r>
              <w:rPr>
                <w:rFonts w:hint="eastAsia"/>
              </w:rPr>
              <w:t>3%T</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rPr>
              <w:t>光度重现性</w:t>
            </w:r>
            <w:r>
              <w:rPr>
                <w:rFonts w:hint="eastAsia"/>
                <w:lang w:eastAsia="zh-CN"/>
              </w:rPr>
              <w:t>：</w:t>
            </w:r>
            <w:r>
              <w:rPr>
                <w:rFonts w:hint="eastAsia"/>
              </w:rPr>
              <w:t>±0.001Abs(0.5Abs)</w:t>
            </w:r>
            <w:r>
              <w:rPr>
                <w:rFonts w:hint="eastAsia"/>
                <w:lang w:eastAsia="zh-CN"/>
              </w:rPr>
              <w:t>；</w:t>
            </w:r>
            <w:r>
              <w:rPr>
                <w:rFonts w:hint="eastAsia"/>
              </w:rPr>
              <w:t>±</w:t>
            </w:r>
            <w:r>
              <w:t>0.00</w:t>
            </w:r>
            <w:r>
              <w:rPr>
                <w:rFonts w:hint="eastAsia"/>
              </w:rPr>
              <w:t>1</w:t>
            </w:r>
            <w:r>
              <w:t>Abs(1Abs)</w:t>
            </w:r>
            <w:r>
              <w:rPr>
                <w:rFonts w:hint="eastAsia"/>
                <w:lang w:eastAsia="zh-CN"/>
              </w:rPr>
              <w:t>；</w:t>
            </w:r>
            <w:r>
              <w:rPr>
                <w:rFonts w:hint="eastAsia"/>
              </w:rPr>
              <w:t>±</w:t>
            </w:r>
            <w:r>
              <w:t>0.00</w:t>
            </w:r>
            <w:r>
              <w:rPr>
                <w:rFonts w:hint="eastAsia"/>
              </w:rPr>
              <w:t>3</w:t>
            </w:r>
            <w:r>
              <w:t>Abs(2Abs)</w:t>
            </w:r>
            <w:r>
              <w:rPr>
                <w:rFonts w:hint="eastAsia"/>
                <w:lang w:eastAsia="zh-CN"/>
              </w:rPr>
              <w:t>；</w:t>
            </w:r>
            <w:r>
              <w:rPr>
                <w:rFonts w:hint="eastAsia"/>
              </w:rPr>
              <w:t>±</w:t>
            </w:r>
            <w:r>
              <w:t>0.</w:t>
            </w:r>
            <w:r>
              <w:rPr>
                <w:rFonts w:hint="eastAsia"/>
              </w:rPr>
              <w:t>1%T</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rPr>
              <w:t>杂散光</w:t>
            </w:r>
            <w:r>
              <w:rPr>
                <w:rFonts w:hint="eastAsia"/>
                <w:lang w:eastAsia="zh-CN"/>
              </w:rPr>
              <w:t>：</w:t>
            </w:r>
            <w:r>
              <w:rPr>
                <w:rFonts w:hint="eastAsia"/>
                <w:bCs/>
              </w:rPr>
              <w:t>KC</w:t>
            </w:r>
            <w:r>
              <w:rPr>
                <w:rFonts w:hint="eastAsia"/>
                <w:bCs/>
                <w:lang w:eastAsia="zh-CN"/>
              </w:rPr>
              <w:t>l</w:t>
            </w:r>
            <w:r>
              <w:rPr>
                <w:rFonts w:hint="eastAsia"/>
                <w:bCs/>
              </w:rPr>
              <w:t>&lt; 1%T</w:t>
            </w:r>
            <w:r>
              <w:rPr>
                <w:rFonts w:hint="eastAsia"/>
                <w:bCs/>
                <w:lang w:eastAsia="zh-CN"/>
              </w:rPr>
              <w:t>（</w:t>
            </w:r>
            <w:r>
              <w:rPr>
                <w:rFonts w:hint="eastAsia"/>
                <w:bCs/>
              </w:rPr>
              <w:t>198nm</w:t>
            </w:r>
            <w:r>
              <w:rPr>
                <w:rFonts w:hint="eastAsia"/>
                <w:bCs/>
                <w:lang w:eastAsia="zh-CN"/>
              </w:rPr>
              <w:t>）；</w:t>
            </w:r>
            <w:r>
              <w:rPr>
                <w:rFonts w:hint="eastAsia"/>
                <w:bCs/>
              </w:rPr>
              <w:t>NaI&lt; 0.005%T（220nm)</w:t>
            </w:r>
            <w:r>
              <w:rPr>
                <w:rFonts w:hint="eastAsia"/>
                <w:bCs/>
                <w:lang w:eastAsia="zh-CN"/>
              </w:rPr>
              <w:t>；</w:t>
            </w:r>
            <w:r>
              <w:rPr>
                <w:rFonts w:hint="eastAsia"/>
                <w:bCs/>
              </w:rPr>
              <w:t>NaNO2  &lt; 0.005%T（340nm)</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rPr>
              <w:t>分辨率:</w:t>
            </w:r>
            <w:r>
              <w:t xml:space="preserve"> 0.1nm</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r>
              <w:rPr>
                <w:rFonts w:hint="eastAsia"/>
              </w:rPr>
              <w:t>漂移：小于0.0002Abs/h</w:t>
            </w:r>
          </w:p>
        </w:tc>
        <w:tc>
          <w:tcPr>
            <w:tcW w:w="2082" w:type="dxa"/>
            <w:vAlign w:val="center"/>
          </w:tcPr>
          <w:p>
            <w:pPr>
              <w:jc w:val="both"/>
              <w:rPr>
                <w:lang w:eastAsia="zh-CN"/>
              </w:rPr>
            </w:pPr>
            <w:r>
              <w:rPr>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4" w:edGrp="everyone"/>
          </w:p>
        </w:tc>
        <w:tc>
          <w:tcPr>
            <w:tcW w:w="6970" w:type="dxa"/>
            <w:vAlign w:val="center"/>
          </w:tcPr>
          <w:p>
            <w:pPr>
              <w:rPr>
                <w:lang w:eastAsia="zh-CN"/>
              </w:rPr>
            </w:pPr>
            <w:r>
              <w:rPr>
                <w:rFonts w:hint="eastAsia"/>
                <w:lang w:eastAsia="zh-CN"/>
              </w:rPr>
              <w:t>测光类型: 吸光度（Abs），透射率（％），反射率，能量（E）</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lang w:eastAsia="zh-CN"/>
              </w:rPr>
              <w:t>测光范围: 吸光度：-5~5 Abs</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r>
              <w:rPr>
                <w:rFonts w:hint="eastAsia"/>
              </w:rPr>
              <w:t>噪音</w:t>
            </w:r>
            <w:r>
              <w:rPr>
                <w:rFonts w:hint="eastAsia"/>
                <w:lang w:eastAsia="zh-CN"/>
              </w:rPr>
              <w:t>：</w:t>
            </w:r>
            <w:r>
              <w:rPr>
                <w:rFonts w:hint="eastAsia"/>
              </w:rPr>
              <w:t>0.00003Abs RMS (500nm)</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r>
              <w:rPr>
                <w:rFonts w:hint="eastAsia"/>
              </w:rPr>
              <w:t>基线稳定性&lt; 0.0002Abs/hour</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r>
              <w:rPr>
                <w:rFonts w:hint="eastAsia"/>
              </w:rPr>
              <w:t>基线平直度</w:t>
            </w:r>
            <w:r>
              <w:rPr>
                <w:rFonts w:hint="eastAsia"/>
                <w:lang w:eastAsia="zh-CN"/>
              </w:rPr>
              <w:t>：</w:t>
            </w:r>
            <w:r>
              <w:rPr>
                <w:rFonts w:hint="eastAsia"/>
              </w:rPr>
              <w:t>±0.0003Abs(200-860nm)</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lang w:eastAsia="zh-CN"/>
              </w:rPr>
              <w:t>记录范围: 吸光度-9.999~9.999 Abs; 透射率-999.9~9.999%</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lang w:eastAsia="zh-CN"/>
              </w:rPr>
              <w:t>基线校正：计算机自动校正（电源启动时，自动存储备份的基线，可以再校正）</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lang w:eastAsia="zh-CN"/>
              </w:rPr>
            </w:pPr>
            <w:r>
              <w:rPr>
                <w:rFonts w:hint="eastAsia"/>
                <w:lang w:eastAsia="zh-CN"/>
              </w:rPr>
              <w:t>光源： 50W卤素灯和氘灯（插座型）</w:t>
            </w:r>
          </w:p>
        </w:tc>
        <w:tc>
          <w:tcPr>
            <w:tcW w:w="2082" w:type="dxa"/>
            <w:vAlign w:val="center"/>
          </w:tcPr>
          <w:p>
            <w:pPr>
              <w:jc w:val="both"/>
              <w:rPr>
                <w:lang w:eastAsia="zh-CN"/>
              </w:rPr>
            </w:pPr>
            <w:r>
              <w:rPr>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r>
              <w:rPr>
                <w:rFonts w:hint="eastAsia"/>
              </w:rPr>
              <w:t>检测器：光电倍增管</w:t>
            </w:r>
          </w:p>
        </w:tc>
        <w:tc>
          <w:tcPr>
            <w:tcW w:w="2082" w:type="dxa"/>
            <w:vAlign w:val="center"/>
          </w:tcPr>
          <w:p>
            <w:pPr>
              <w:jc w:val="both"/>
              <w:rPr>
                <w:lang w:eastAsia="zh-CN"/>
              </w:rPr>
            </w:pPr>
            <w:r>
              <w:rPr>
                <w:lang w:eastAsia="zh-CN"/>
              </w:rPr>
              <w:t>关键</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25" w:edGrp="everyone"/>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w:t>
            </w:r>
            <w:permEnd w:id="25"/>
            <w:r>
              <w:rPr>
                <w:b/>
                <w:szCs w:val="21"/>
              </w:rPr>
              <w:t>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ind w:left="426"/>
              <w:rPr>
                <w:szCs w:val="21"/>
              </w:rPr>
            </w:pPr>
            <w:permStart w:id="26" w:edGrp="everyone"/>
          </w:p>
        </w:tc>
        <w:tc>
          <w:tcPr>
            <w:tcW w:w="9052" w:type="dxa"/>
            <w:gridSpan w:val="2"/>
            <w:vAlign w:val="center"/>
          </w:tcPr>
          <w:p>
            <w:pPr>
              <w:jc w:val="both"/>
              <w:rPr>
                <w:szCs w:val="21"/>
                <w:lang w:eastAsia="zh-CN"/>
              </w:rPr>
            </w:pPr>
            <w:r>
              <w:rPr>
                <w:rFonts w:hint="eastAsia"/>
                <w:szCs w:val="21"/>
                <w:lang w:eastAsia="zh-CN"/>
              </w:rPr>
              <w:t>N/A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7" w:edGrp="everyone"/>
          </w:p>
        </w:tc>
        <w:tc>
          <w:tcPr>
            <w:tcW w:w="6970" w:type="dxa"/>
            <w:vAlign w:val="center"/>
          </w:tcPr>
          <w:p>
            <w:pPr>
              <w:spacing w:line="276" w:lineRule="auto"/>
              <w:jc w:val="both"/>
              <w:rPr>
                <w:szCs w:val="21"/>
                <w:lang w:eastAsia="zh-CN"/>
              </w:rPr>
            </w:pPr>
            <w:r>
              <w:rPr>
                <w:rFonts w:hint="eastAsia"/>
                <w:szCs w:val="21"/>
                <w:lang w:eastAsia="zh-CN"/>
              </w:rPr>
              <w:t>计算机工作站一套，</w:t>
            </w:r>
            <w:r>
              <w:rPr>
                <w:kern w:val="2"/>
                <w:szCs w:val="21"/>
                <w:lang w:val="en-US" w:eastAsia="zh-CN"/>
              </w:rPr>
              <w:t>Windows</w:t>
            </w:r>
            <w:r>
              <w:rPr>
                <w:kern w:val="2"/>
                <w:szCs w:val="21"/>
                <w:lang w:val="zh-CN" w:eastAsia="zh-CN"/>
              </w:rPr>
              <w:t>专业版操作系统</w:t>
            </w:r>
            <w:r>
              <w:rPr>
                <w:rFonts w:hint="eastAsia"/>
                <w:kern w:val="2"/>
                <w:szCs w:val="21"/>
                <w:lang w:val="en-US" w:eastAsia="zh-CN"/>
              </w:rPr>
              <w:t>，</w:t>
            </w:r>
            <w:r>
              <w:rPr>
                <w:kern w:val="2"/>
                <w:szCs w:val="21"/>
                <w:lang w:val="zh-CN"/>
              </w:rPr>
              <w:t>电脑硬件</w:t>
            </w:r>
            <w:r>
              <w:rPr>
                <w:kern w:val="2"/>
                <w:szCs w:val="21"/>
                <w:lang w:val="en-US"/>
              </w:rPr>
              <w:t>: CPU Corei5，</w:t>
            </w:r>
            <w:r>
              <w:rPr>
                <w:kern w:val="2"/>
                <w:szCs w:val="21"/>
                <w:lang w:val="zh-CN"/>
              </w:rPr>
              <w:t>内存</w:t>
            </w:r>
            <w:r>
              <w:rPr>
                <w:kern w:val="2"/>
                <w:szCs w:val="21"/>
                <w:lang w:val="en-US"/>
              </w:rPr>
              <w:t xml:space="preserve"> 2G，</w:t>
            </w:r>
            <w:r>
              <w:rPr>
                <w:kern w:val="2"/>
                <w:szCs w:val="21"/>
                <w:lang w:val="zh-CN"/>
              </w:rPr>
              <w:t>硬盘</w:t>
            </w:r>
            <w:r>
              <w:rPr>
                <w:kern w:val="2"/>
                <w:szCs w:val="21"/>
                <w:lang w:val="en-US"/>
              </w:rPr>
              <w:t xml:space="preserve"> 500G，</w:t>
            </w:r>
            <w:r>
              <w:rPr>
                <w:kern w:val="2"/>
                <w:szCs w:val="21"/>
                <w:lang w:val="zh-CN"/>
              </w:rPr>
              <w:t>显示器</w:t>
            </w:r>
            <w:r>
              <w:rPr>
                <w:kern w:val="2"/>
                <w:szCs w:val="21"/>
                <w:lang w:val="en-US"/>
              </w:rPr>
              <w:t xml:space="preserve"> 19”，64</w:t>
            </w:r>
            <w:r>
              <w:rPr>
                <w:kern w:val="2"/>
                <w:szCs w:val="21"/>
                <w:lang w:val="zh-CN"/>
              </w:rPr>
              <w:t>速</w:t>
            </w:r>
            <w:r>
              <w:rPr>
                <w:kern w:val="2"/>
                <w:szCs w:val="21"/>
                <w:lang w:val="en-US"/>
              </w:rPr>
              <w:t>DVD-ROM</w:t>
            </w:r>
            <w:r>
              <w:rPr>
                <w:kern w:val="2"/>
                <w:szCs w:val="21"/>
                <w:lang w:val="zh-CN"/>
              </w:rPr>
              <w:t>光驱</w:t>
            </w:r>
            <w:r>
              <w:rPr>
                <w:kern w:val="2"/>
                <w:szCs w:val="21"/>
                <w:lang w:val="en-US"/>
              </w:rPr>
              <w:t>，RS232</w:t>
            </w:r>
            <w:r>
              <w:rPr>
                <w:kern w:val="2"/>
                <w:szCs w:val="21"/>
                <w:lang w:val="zh-CN"/>
              </w:rPr>
              <w:t>接口</w:t>
            </w:r>
            <w:r>
              <w:rPr>
                <w:kern w:val="2"/>
                <w:szCs w:val="21"/>
                <w:lang w:val="en-US"/>
              </w:rPr>
              <w:t>，USB</w:t>
            </w:r>
            <w:r>
              <w:rPr>
                <w:kern w:val="2"/>
                <w:szCs w:val="21"/>
                <w:lang w:val="zh-CN"/>
              </w:rPr>
              <w:t>接口</w:t>
            </w:r>
            <w:r>
              <w:rPr>
                <w:kern w:val="2"/>
                <w:szCs w:val="21"/>
                <w:lang w:val="en-US"/>
              </w:rPr>
              <w:t>≥4</w:t>
            </w:r>
            <w:r>
              <w:rPr>
                <w:kern w:val="2"/>
                <w:szCs w:val="21"/>
                <w:lang w:val="zh-CN"/>
              </w:rPr>
              <w:t>个</w:t>
            </w:r>
            <w:r>
              <w:rPr>
                <w:kern w:val="2"/>
                <w:szCs w:val="21"/>
                <w:lang w:val="en-US" w:eastAsia="zh-CN"/>
              </w:rPr>
              <w:t>；</w:t>
            </w:r>
            <w:r>
              <w:rPr>
                <w:szCs w:val="21"/>
                <w:lang w:val="en-US" w:eastAsia="zh-CN"/>
              </w:rPr>
              <w:t>正版</w:t>
            </w:r>
            <w:r>
              <w:rPr>
                <w:kern w:val="2"/>
                <w:szCs w:val="21"/>
                <w:lang w:val="zh-CN" w:eastAsia="zh-CN"/>
              </w:rPr>
              <w:t>控制</w:t>
            </w:r>
            <w:r>
              <w:rPr>
                <w:kern w:val="2"/>
                <w:szCs w:val="21"/>
                <w:lang w:val="en-US" w:eastAsia="zh-CN"/>
              </w:rPr>
              <w:t>及</w:t>
            </w:r>
            <w:r>
              <w:rPr>
                <w:kern w:val="2"/>
                <w:szCs w:val="21"/>
                <w:lang w:val="zh-CN" w:eastAsia="zh-CN"/>
              </w:rPr>
              <w:t>分析软件</w:t>
            </w:r>
            <w:r>
              <w:rPr>
                <w:rFonts w:hint="eastAsia"/>
                <w:kern w:val="2"/>
                <w:szCs w:val="21"/>
                <w:lang w:val="en-US" w:eastAsia="zh-CN"/>
              </w:rPr>
              <w:t>。</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ascii="宋体" w:hAnsi="宋体"/>
                <w:kern w:val="2"/>
                <w:szCs w:val="21"/>
                <w:lang w:val="zh-CN" w:eastAsia="zh-CN"/>
              </w:rPr>
              <w:t>配备数据打印输出用打印机（</w:t>
            </w:r>
            <w:r>
              <w:rPr>
                <w:rFonts w:hint="eastAsia"/>
                <w:color w:val="000000"/>
                <w:szCs w:val="21"/>
                <w:lang w:eastAsia="zh-CN"/>
              </w:rPr>
              <w:t>黑白激光打印</w:t>
            </w:r>
            <w:r>
              <w:rPr>
                <w:rFonts w:hint="eastAsia" w:ascii="宋体" w:hAnsi="宋体"/>
                <w:kern w:val="2"/>
                <w:szCs w:val="21"/>
                <w:lang w:val="zh-CN" w:eastAsia="zh-CN"/>
              </w:rPr>
              <w:t>）</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olor w:val="000000"/>
                <w:kern w:val="2"/>
                <w:szCs w:val="21"/>
                <w:lang w:val="zh-CN" w:eastAsia="zh-CN"/>
              </w:rPr>
            </w:pPr>
            <w:r>
              <w:rPr>
                <w:color w:val="000000"/>
                <w:szCs w:val="21"/>
                <w:lang w:eastAsia="zh-CN"/>
              </w:rPr>
              <w:t>仪器软件应可以设置多个用户，并有用户分级管理功能，每个等级拥有相应的可设置权限</w:t>
            </w:r>
          </w:p>
        </w:tc>
        <w:tc>
          <w:tcPr>
            <w:tcW w:w="2082" w:type="dxa"/>
            <w:vAlign w:val="center"/>
          </w:tcPr>
          <w:p>
            <w:pPr>
              <w:jc w:val="both"/>
              <w:rPr>
                <w:szCs w:val="21"/>
                <w:lang w:eastAsia="zh-CN"/>
              </w:rPr>
            </w:pPr>
            <w:r>
              <w:rPr>
                <w:rFonts w:hint="eastAsia"/>
                <w:szCs w:val="21"/>
                <w:lang w:eastAsia="zh-CN"/>
              </w:rPr>
              <w:t>关键</w:t>
            </w:r>
          </w:p>
        </w:tc>
      </w:tr>
      <w:permEnd w:id="2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ind w:left="357"/>
        <w:jc w:val="left"/>
        <w:rPr>
          <w:i/>
          <w:color w:val="4472C4"/>
          <w:szCs w:val="21"/>
          <w:lang w:eastAsia="zh-CN"/>
        </w:rPr>
      </w:pPr>
      <w:permStart w:id="28" w:edGrp="everyone"/>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8"/>
        <w:gridCol w:w="6952"/>
        <w:gridCol w:w="12"/>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8" w:type="dxa"/>
            <w:shd w:val="clear" w:color="auto" w:fill="D9D9D9"/>
            <w:vAlign w:val="center"/>
          </w:tcPr>
          <w:p>
            <w:pPr>
              <w:jc w:val="center"/>
              <w:rPr>
                <w:b/>
                <w:szCs w:val="21"/>
              </w:rPr>
            </w:pPr>
            <w:r>
              <w:rPr>
                <w:b/>
                <w:szCs w:val="21"/>
              </w:rPr>
              <w:t>编</w:t>
            </w:r>
            <w:permEnd w:id="28"/>
            <w:r>
              <w:rPr>
                <w:b/>
                <w:szCs w:val="21"/>
              </w:rPr>
              <w:t>号</w:t>
            </w:r>
          </w:p>
        </w:tc>
        <w:tc>
          <w:tcPr>
            <w:tcW w:w="6964" w:type="dxa"/>
            <w:gridSpan w:val="2"/>
            <w:shd w:val="clear" w:color="auto" w:fill="D9D9D9"/>
            <w:vAlign w:val="center"/>
          </w:tcPr>
          <w:p>
            <w:pPr>
              <w:jc w:val="center"/>
              <w:rPr>
                <w:b/>
                <w:szCs w:val="21"/>
                <w:lang w:eastAsia="zh-CN"/>
              </w:rPr>
            </w:pPr>
            <w:r>
              <w:rPr>
                <w:b/>
                <w:szCs w:val="21"/>
                <w:lang w:eastAsia="zh-CN"/>
              </w:rPr>
              <w:t>需求</w:t>
            </w:r>
          </w:p>
        </w:tc>
        <w:tc>
          <w:tcPr>
            <w:tcW w:w="208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8" w:type="dxa"/>
            <w:shd w:val="clear" w:color="auto" w:fill="D9D9D9"/>
            <w:vAlign w:val="center"/>
          </w:tcPr>
          <w:p>
            <w:pPr>
              <w:pStyle w:val="30"/>
              <w:numPr>
                <w:ilvl w:val="0"/>
                <w:numId w:val="10"/>
              </w:numPr>
              <w:ind w:firstLineChars="0"/>
              <w:rPr>
                <w:rFonts w:ascii="Times New Roman" w:hAnsi="Times New Roman"/>
                <w:szCs w:val="21"/>
              </w:rPr>
            </w:pPr>
          </w:p>
        </w:tc>
        <w:tc>
          <w:tcPr>
            <w:tcW w:w="9049" w:type="dxa"/>
            <w:gridSpan w:val="3"/>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8" w:type="dxa"/>
            <w:shd w:val="clear" w:color="auto" w:fill="D9D9D9"/>
            <w:vAlign w:val="center"/>
          </w:tcPr>
          <w:p>
            <w:pPr>
              <w:ind w:left="426"/>
              <w:rPr>
                <w:szCs w:val="21"/>
              </w:rPr>
            </w:pPr>
            <w:permStart w:id="29" w:edGrp="everyone"/>
          </w:p>
        </w:tc>
        <w:tc>
          <w:tcPr>
            <w:tcW w:w="9049" w:type="dxa"/>
            <w:gridSpan w:val="3"/>
            <w:vAlign w:val="center"/>
          </w:tcPr>
          <w:p>
            <w:pPr>
              <w:jc w:val="both"/>
              <w:rPr>
                <w:szCs w:val="21"/>
                <w:lang w:eastAsia="zh-CN"/>
              </w:rPr>
            </w:pPr>
            <w:r>
              <w:rPr>
                <w:rFonts w:hint="eastAsia"/>
                <w:szCs w:val="21"/>
                <w:lang w:eastAsia="zh-CN"/>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8" w:type="dxa"/>
            <w:shd w:val="clear" w:color="auto" w:fill="D9D9D9"/>
            <w:vAlign w:val="center"/>
          </w:tcPr>
          <w:p>
            <w:pPr>
              <w:pStyle w:val="30"/>
              <w:numPr>
                <w:ilvl w:val="0"/>
                <w:numId w:val="10"/>
              </w:numPr>
              <w:ind w:firstLineChars="0"/>
              <w:rPr>
                <w:rFonts w:ascii="Times New Roman" w:hAnsi="Times New Roman"/>
                <w:szCs w:val="21"/>
              </w:rPr>
            </w:pPr>
          </w:p>
        </w:tc>
        <w:tc>
          <w:tcPr>
            <w:tcW w:w="6964" w:type="dxa"/>
            <w:gridSpan w:val="2"/>
            <w:shd w:val="clear" w:color="auto" w:fill="D9D9D9"/>
            <w:vAlign w:val="center"/>
          </w:tcPr>
          <w:p>
            <w:pPr>
              <w:jc w:val="both"/>
              <w:rPr>
                <w:szCs w:val="21"/>
                <w:lang w:eastAsia="zh-CN"/>
              </w:rPr>
            </w:pPr>
            <w:r>
              <w:rPr>
                <w:szCs w:val="21"/>
                <w:lang w:eastAsia="zh-CN"/>
              </w:rPr>
              <w:t>电气保护</w:t>
            </w:r>
          </w:p>
        </w:tc>
        <w:tc>
          <w:tcPr>
            <w:tcW w:w="208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8" w:type="dxa"/>
            <w:shd w:val="clear" w:color="auto" w:fill="FFFFFF"/>
            <w:vAlign w:val="center"/>
          </w:tcPr>
          <w:p>
            <w:pPr>
              <w:ind w:left="426"/>
              <w:rPr>
                <w:szCs w:val="21"/>
              </w:rPr>
            </w:pPr>
            <w:permStart w:id="30" w:edGrp="everyone"/>
          </w:p>
        </w:tc>
        <w:tc>
          <w:tcPr>
            <w:tcW w:w="6952" w:type="dxa"/>
            <w:vAlign w:val="center"/>
          </w:tcPr>
          <w:p>
            <w:pPr>
              <w:jc w:val="both"/>
              <w:rPr>
                <w:szCs w:val="21"/>
                <w:lang w:eastAsia="zh-CN"/>
              </w:rPr>
            </w:pPr>
            <w:r>
              <w:rPr>
                <w:rFonts w:hint="eastAsia"/>
                <w:szCs w:val="21"/>
                <w:lang w:eastAsia="zh-CN"/>
              </w:rPr>
              <w:t>有断电保护措施</w:t>
            </w:r>
          </w:p>
        </w:tc>
        <w:tc>
          <w:tcPr>
            <w:tcW w:w="2097" w:type="dxa"/>
            <w:gridSpan w:val="2"/>
            <w:vAlign w:val="center"/>
          </w:tcPr>
          <w:p>
            <w:pPr>
              <w:jc w:val="both"/>
              <w:rPr>
                <w:szCs w:val="21"/>
                <w:lang w:eastAsia="zh-CN"/>
              </w:rPr>
            </w:pPr>
            <w:r>
              <w:rPr>
                <w:rFonts w:hint="eastAsia"/>
                <w:szCs w:val="21"/>
                <w:lang w:eastAsia="zh-CN"/>
              </w:rPr>
              <w:t>关键</w:t>
            </w:r>
          </w:p>
        </w:tc>
      </w:tr>
      <w:permEnd w:id="30"/>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1" w:edGrp="everyone"/>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w:t>
            </w:r>
            <w:permEnd w:id="31"/>
            <w:r>
              <w:rPr>
                <w:b/>
                <w:szCs w:val="21"/>
              </w:rPr>
              <w:t>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2" w:edGrp="everyone"/>
          </w:p>
        </w:tc>
        <w:tc>
          <w:tcPr>
            <w:tcW w:w="6970" w:type="dxa"/>
            <w:vAlign w:val="center"/>
          </w:tcPr>
          <w:p>
            <w:pPr>
              <w:pStyle w:val="8"/>
              <w:spacing w:line="460" w:lineRule="exact"/>
              <w:rPr>
                <w:sz w:val="21"/>
                <w:szCs w:val="21"/>
                <w:lang w:eastAsia="zh-CN"/>
              </w:rPr>
            </w:pPr>
            <w:r>
              <w:rPr>
                <w:rFonts w:hint="eastAsia"/>
                <w:sz w:val="21"/>
                <w:szCs w:val="21"/>
                <w:lang w:eastAsia="zh-CN"/>
              </w:rPr>
              <w:t>验证文件：</w:t>
            </w:r>
          </w:p>
          <w:p>
            <w:pPr>
              <w:spacing w:line="360" w:lineRule="auto"/>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spacing w:line="360" w:lineRule="auto"/>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GMP和</w:t>
            </w:r>
            <w:r>
              <w:rPr>
                <w:rFonts w:hint="eastAsia"/>
                <w:szCs w:val="21"/>
                <w:lang w:eastAsia="zh-CN"/>
              </w:rPr>
              <w:t>GAMP5相关法规的评估文件</w:t>
            </w:r>
          </w:p>
          <w:p>
            <w:pPr>
              <w:spacing w:line="360" w:lineRule="auto"/>
              <w:rPr>
                <w:szCs w:val="21"/>
                <w:lang w:eastAsia="zh-CN"/>
              </w:rPr>
            </w:pPr>
            <w:r>
              <w:rPr>
                <w:rFonts w:hint="eastAsia"/>
                <w:szCs w:val="21"/>
                <w:lang w:eastAsia="zh-CN"/>
              </w:rPr>
              <w:t>（3）安装确认及文件（</w:t>
            </w:r>
            <w:r>
              <w:rPr>
                <w:szCs w:val="21"/>
                <w:lang w:eastAsia="zh-CN"/>
              </w:rPr>
              <w:t>IQ</w:t>
            </w:r>
            <w:r>
              <w:rPr>
                <w:rFonts w:hint="eastAsia"/>
                <w:szCs w:val="21"/>
                <w:lang w:eastAsia="zh-CN"/>
              </w:rPr>
              <w:t>）；</w:t>
            </w:r>
          </w:p>
          <w:p>
            <w:pPr>
              <w:spacing w:line="360" w:lineRule="auto"/>
              <w:rPr>
                <w:szCs w:val="21"/>
                <w:lang w:eastAsia="zh-CN"/>
              </w:rPr>
            </w:pPr>
            <w:r>
              <w:rPr>
                <w:rFonts w:hint="eastAsia"/>
                <w:szCs w:val="21"/>
                <w:lang w:eastAsia="zh-CN"/>
              </w:rPr>
              <w:t>（4）运行确认及文件（</w:t>
            </w:r>
            <w:r>
              <w:rPr>
                <w:szCs w:val="21"/>
                <w:lang w:eastAsia="zh-CN"/>
              </w:rPr>
              <w:t>OQ</w:t>
            </w:r>
            <w:r>
              <w:rPr>
                <w:rFonts w:hint="eastAsia"/>
                <w:szCs w:val="21"/>
                <w:lang w:eastAsia="zh-CN"/>
              </w:rPr>
              <w:t>）；</w:t>
            </w:r>
          </w:p>
        </w:tc>
        <w:tc>
          <w:tcPr>
            <w:tcW w:w="2082" w:type="dxa"/>
            <w:vAlign w:val="center"/>
          </w:tcPr>
          <w:p>
            <w:pPr>
              <w:jc w:val="both"/>
              <w:rPr>
                <w:szCs w:val="21"/>
                <w:lang w:eastAsia="zh-CN"/>
              </w:rPr>
            </w:pPr>
            <w:r>
              <w:rPr>
                <w:rFonts w:hint="eastAsia"/>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3" w:edGrp="everyone"/>
          </w:p>
        </w:tc>
        <w:tc>
          <w:tcPr>
            <w:tcW w:w="6970" w:type="dxa"/>
            <w:vAlign w:val="center"/>
          </w:tcPr>
          <w:p>
            <w:pPr>
              <w:jc w:val="both"/>
              <w:rPr>
                <w:szCs w:val="21"/>
                <w:lang w:eastAsia="zh-CN"/>
              </w:rPr>
            </w:pPr>
            <w:r>
              <w:rPr>
                <w:rFonts w:hint="eastAsia"/>
                <w:szCs w:val="21"/>
                <w:lang w:eastAsia="zh-CN"/>
              </w:rPr>
              <w:t>评估文件</w:t>
            </w:r>
          </w:p>
          <w:p>
            <w:pPr>
              <w:jc w:val="both"/>
              <w:rPr>
                <w:szCs w:val="21"/>
                <w:lang w:eastAsia="zh-CN"/>
              </w:rPr>
            </w:pPr>
            <w:r>
              <w:rPr>
                <w:rFonts w:hint="eastAsia"/>
                <w:szCs w:val="21"/>
                <w:lang w:eastAsia="zh-CN"/>
              </w:rPr>
              <w:t>1.使用操作说明书及维护保养说明（即运行及维护手册）3份。</w:t>
            </w:r>
          </w:p>
          <w:p>
            <w:pPr>
              <w:jc w:val="both"/>
              <w:rPr>
                <w:szCs w:val="21"/>
                <w:lang w:eastAsia="zh-CN"/>
              </w:rPr>
            </w:pPr>
            <w:r>
              <w:rPr>
                <w:rFonts w:hint="eastAsia"/>
                <w:szCs w:val="21"/>
                <w:lang w:eastAsia="zh-CN"/>
              </w:rPr>
              <w:t>2.提供设备及其零部件使用寿命清单。</w:t>
            </w:r>
          </w:p>
          <w:p>
            <w:pPr>
              <w:jc w:val="both"/>
              <w:rPr>
                <w:szCs w:val="21"/>
                <w:lang w:eastAsia="zh-CN"/>
              </w:rPr>
            </w:pPr>
            <w:r>
              <w:rPr>
                <w:rFonts w:hint="eastAsia"/>
                <w:szCs w:val="21"/>
                <w:lang w:eastAsia="zh-CN"/>
              </w:rPr>
              <w:t>3.应有针对每一部件所作序号的简明图册，以便于维修人员查找和辩识。</w:t>
            </w:r>
          </w:p>
        </w:tc>
        <w:tc>
          <w:tcPr>
            <w:tcW w:w="2082" w:type="dxa"/>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szCs w:val="21"/>
                <w:lang w:eastAsia="zh-CN"/>
              </w:rPr>
              <w:t>文件具体要求：</w:t>
            </w:r>
            <w:r>
              <w:rPr>
                <w:rFonts w:hint="eastAsia"/>
                <w:szCs w:val="21"/>
                <w:lang w:eastAsia="zh-CN"/>
              </w:rPr>
              <w:tab/>
            </w:r>
          </w:p>
          <w:p>
            <w:pPr>
              <w:jc w:val="both"/>
              <w:rPr>
                <w:szCs w:val="21"/>
                <w:lang w:eastAsia="zh-CN"/>
              </w:rPr>
            </w:pPr>
            <w:r>
              <w:rPr>
                <w:rFonts w:hint="eastAsia"/>
                <w:szCs w:val="21"/>
                <w:lang w:eastAsia="zh-CN"/>
              </w:rPr>
              <w:t>（1）系统相关方案中，应明确本系统的配置、规格，并且通过分析阐述每一个系统环节的必要性；</w:t>
            </w:r>
          </w:p>
          <w:p>
            <w:pPr>
              <w:jc w:val="both"/>
              <w:rPr>
                <w:szCs w:val="21"/>
                <w:lang w:eastAsia="zh-CN"/>
              </w:rPr>
            </w:pPr>
            <w:r>
              <w:rPr>
                <w:rFonts w:hint="eastAsia"/>
                <w:szCs w:val="21"/>
                <w:lang w:eastAsia="zh-CN"/>
              </w:rPr>
              <w:t>（2）标书中明确系统所有组件的品牌、材质、型号，并且注明每一个组件的保修期。</w:t>
            </w:r>
          </w:p>
          <w:p>
            <w:pPr>
              <w:jc w:val="both"/>
              <w:rPr>
                <w:szCs w:val="21"/>
                <w:lang w:eastAsia="zh-CN"/>
              </w:rPr>
            </w:pPr>
            <w:r>
              <w:rPr>
                <w:rFonts w:hint="eastAsia"/>
                <w:szCs w:val="21"/>
                <w:lang w:eastAsia="zh-CN"/>
              </w:rPr>
              <w:t>（3）需要提供主要配件清单，并作单项报价备案，列在合同方案之内。</w:t>
            </w:r>
          </w:p>
        </w:tc>
        <w:tc>
          <w:tcPr>
            <w:tcW w:w="2082" w:type="dxa"/>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cs="Arial"/>
                <w:color w:val="000000"/>
                <w:szCs w:val="21"/>
                <w:lang w:eastAsia="zh-CN"/>
              </w:rPr>
            </w:pPr>
            <w:r>
              <w:rPr>
                <w:rFonts w:hint="eastAsia" w:ascii="宋体" w:hAnsi="宋体" w:cs="Arial"/>
                <w:color w:val="000000"/>
                <w:szCs w:val="21"/>
                <w:lang w:eastAsia="zh-CN"/>
              </w:rPr>
              <w:t>设备供应商应提供设备的验证资料、设备开箱验收时提供第三方校验报告及计量证书。</w:t>
            </w:r>
          </w:p>
        </w:tc>
        <w:tc>
          <w:tcPr>
            <w:tcW w:w="2082" w:type="dxa"/>
            <w:vAlign w:val="center"/>
          </w:tcPr>
          <w:p>
            <w:pPr>
              <w:jc w:val="both"/>
              <w:rPr>
                <w:lang w:eastAsia="zh-CN"/>
              </w:rPr>
            </w:pPr>
            <w:r>
              <w:rPr>
                <w:rFonts w:hint="eastAsia"/>
                <w:lang w:eastAsia="zh-CN"/>
              </w:rPr>
              <w:t>关键</w:t>
            </w:r>
          </w:p>
        </w:tc>
      </w:tr>
      <w:permEnd w:id="33"/>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4" w:edGrp="everyone"/>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w:t>
            </w:r>
            <w:permEnd w:id="34"/>
            <w:r>
              <w:rPr>
                <w:b/>
                <w:szCs w:val="21"/>
              </w:rPr>
              <w:t>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5" w:edGrp="everyone"/>
          </w:p>
        </w:tc>
        <w:tc>
          <w:tcPr>
            <w:tcW w:w="6970" w:type="dxa"/>
            <w:vAlign w:val="center"/>
          </w:tcPr>
          <w:p>
            <w:pPr>
              <w:spacing w:line="276"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082" w:type="dxa"/>
            <w:vAlign w:val="center"/>
          </w:tcPr>
          <w:p>
            <w:pPr>
              <w:jc w:val="both"/>
              <w:rPr>
                <w:szCs w:val="21"/>
                <w:lang w:eastAsia="zh-CN"/>
              </w:rPr>
            </w:pPr>
            <w:r>
              <w:rPr>
                <w:rFonts w:hint="eastAsia"/>
                <w:iCs/>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6" w:edGrp="everyone"/>
          </w:p>
        </w:tc>
        <w:tc>
          <w:tcPr>
            <w:tcW w:w="6970"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082" w:type="dxa"/>
            <w:vAlign w:val="center"/>
          </w:tcPr>
          <w:p>
            <w:pPr>
              <w:jc w:val="both"/>
              <w:rPr>
                <w:szCs w:val="21"/>
                <w:lang w:eastAsia="zh-CN"/>
              </w:rPr>
            </w:pPr>
            <w:r>
              <w:rPr>
                <w:rFonts w:hint="eastAsia"/>
                <w:iCs/>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7" w:edGrp="everyone"/>
          </w:p>
        </w:tc>
        <w:tc>
          <w:tcPr>
            <w:tcW w:w="6970"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vAlign w:val="center"/>
          </w:tcPr>
          <w:p>
            <w:pPr>
              <w:jc w:val="both"/>
              <w:rPr>
                <w:szCs w:val="21"/>
                <w:lang w:eastAsia="zh-CN"/>
              </w:rPr>
            </w:pPr>
            <w:r>
              <w:rPr>
                <w:rFonts w:hint="eastAsia"/>
                <w:iCs/>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8" w:edGrp="everyone"/>
          </w:p>
        </w:tc>
        <w:tc>
          <w:tcPr>
            <w:tcW w:w="6970"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082" w:type="dxa"/>
            <w:vAlign w:val="center"/>
          </w:tcPr>
          <w:p>
            <w:pPr>
              <w:jc w:val="both"/>
              <w:rPr>
                <w:szCs w:val="21"/>
                <w:lang w:eastAsia="zh-CN"/>
              </w:rPr>
            </w:pPr>
            <w:r>
              <w:rPr>
                <w:rFonts w:hint="eastAsia"/>
                <w:iCs/>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9" w:edGrp="everyone"/>
          </w:p>
        </w:tc>
        <w:tc>
          <w:tcPr>
            <w:tcW w:w="6970" w:type="dxa"/>
            <w:vAlign w:val="center"/>
          </w:tcPr>
          <w:p>
            <w:pPr>
              <w:pStyle w:val="8"/>
              <w:rPr>
                <w:sz w:val="21"/>
                <w:szCs w:val="20"/>
                <w:lang w:eastAsia="zh-CN"/>
              </w:rPr>
            </w:pPr>
            <w:r>
              <w:rPr>
                <w:rFonts w:hint="eastAsia"/>
                <w:sz w:val="21"/>
                <w:szCs w:val="20"/>
                <w:lang w:eastAsia="zh-CN"/>
              </w:rPr>
              <w:t>验证包括IQ、OQ文件与服务，供应商必须派出具备该类系统验证经验，且熟悉验证相关文件编写及验证工作实施的验证工程师开展验证工作。供应商协助完成PQ。</w:t>
            </w:r>
          </w:p>
          <w:p>
            <w:pPr>
              <w:pStyle w:val="8"/>
              <w:rPr>
                <w:sz w:val="21"/>
                <w:szCs w:val="20"/>
                <w:lang w:eastAsia="zh-CN"/>
              </w:rPr>
            </w:pPr>
            <w:r>
              <w:rPr>
                <w:rFonts w:hint="eastAsia"/>
                <w:sz w:val="21"/>
                <w:szCs w:val="20"/>
                <w:lang w:eastAsia="zh-CN"/>
              </w:rPr>
              <w:t>投标方按GMP及GAMP5规范及仪器相关法规完成所有验证工作，并提供相应文件（文件必须无条件符合我所QA要求）。</w:t>
            </w:r>
          </w:p>
        </w:tc>
        <w:tc>
          <w:tcPr>
            <w:tcW w:w="2082"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0" w:edGrp="everyone"/>
          </w:p>
        </w:tc>
        <w:tc>
          <w:tcPr>
            <w:tcW w:w="6970" w:type="dxa"/>
            <w:vAlign w:val="center"/>
          </w:tcPr>
          <w:p>
            <w:pPr>
              <w:spacing w:line="276" w:lineRule="auto"/>
              <w:jc w:val="both"/>
              <w:rPr>
                <w:szCs w:val="21"/>
                <w:lang w:eastAsia="zh-CN"/>
              </w:rPr>
            </w:pPr>
            <w:r>
              <w:rPr>
                <w:rFonts w:hint="eastAsia" w:ascii="宋体" w:hAnsi="宋体"/>
                <w:szCs w:val="21"/>
                <w:lang w:eastAsia="zh-CN"/>
              </w:rPr>
              <w:t>设备保质期从确认验收的阶段就开始计算。</w:t>
            </w:r>
          </w:p>
        </w:tc>
        <w:tc>
          <w:tcPr>
            <w:tcW w:w="2082" w:type="dxa"/>
            <w:vAlign w:val="center"/>
          </w:tcPr>
          <w:p>
            <w:pPr>
              <w:jc w:val="both"/>
              <w:rPr>
                <w:szCs w:val="21"/>
                <w:lang w:eastAsia="zh-CN"/>
              </w:rPr>
            </w:pPr>
            <w:r>
              <w:rPr>
                <w:rFonts w:hint="eastAsia"/>
                <w:iCs/>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1" w:edGrp="everyone"/>
          </w:p>
        </w:tc>
        <w:tc>
          <w:tcPr>
            <w:tcW w:w="6970" w:type="dxa"/>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082" w:type="dxa"/>
            <w:vAlign w:val="center"/>
          </w:tcPr>
          <w:p>
            <w:pPr>
              <w:jc w:val="both"/>
              <w:rPr>
                <w:szCs w:val="21"/>
                <w:lang w:eastAsia="zh-CN"/>
              </w:rPr>
            </w:pPr>
            <w:r>
              <w:rPr>
                <w:rFonts w:hint="eastAsia"/>
                <w:iCs/>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2" w:edGrp="everyone"/>
          </w:p>
        </w:tc>
        <w:tc>
          <w:tcPr>
            <w:tcW w:w="6970"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货物到达买方使用现场后，由买卖双方共同验收，卖方工程师免费为买房提供调试。</w:t>
            </w:r>
          </w:p>
        </w:tc>
        <w:tc>
          <w:tcPr>
            <w:tcW w:w="2082" w:type="dxa"/>
            <w:vAlign w:val="center"/>
          </w:tcPr>
          <w:p>
            <w:pPr>
              <w:jc w:val="both"/>
              <w:rPr>
                <w:szCs w:val="21"/>
                <w:lang w:eastAsia="zh-CN"/>
              </w:rPr>
            </w:pPr>
            <w:r>
              <w:rPr>
                <w:rFonts w:hint="eastAsia"/>
                <w:iCs/>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3" w:edGrp="everyone"/>
          </w:p>
        </w:tc>
        <w:tc>
          <w:tcPr>
            <w:tcW w:w="6970" w:type="dxa"/>
            <w:vAlign w:val="center"/>
          </w:tcPr>
          <w:p>
            <w:pPr>
              <w:spacing w:line="276" w:lineRule="auto"/>
              <w:jc w:val="both"/>
              <w:rPr>
                <w:szCs w:val="21"/>
                <w:lang w:eastAsia="zh-CN"/>
              </w:rPr>
            </w:pPr>
            <w:r>
              <w:rPr>
                <w:rFonts w:hint="eastAsia" w:ascii="宋体" w:hAnsi="宋体"/>
                <w:szCs w:val="21"/>
                <w:lang w:eastAsia="zh-CN"/>
              </w:rPr>
              <w:t>供应商进厂施工需遵守安全和施工规定。</w:t>
            </w:r>
          </w:p>
        </w:tc>
        <w:tc>
          <w:tcPr>
            <w:tcW w:w="2082" w:type="dxa"/>
            <w:vAlign w:val="center"/>
          </w:tcPr>
          <w:p>
            <w:pPr>
              <w:jc w:val="both"/>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确认验收合格后，买卖双方签订验收报告。</w:t>
            </w:r>
          </w:p>
        </w:tc>
        <w:tc>
          <w:tcPr>
            <w:tcW w:w="2082" w:type="dxa"/>
            <w:vAlign w:val="center"/>
          </w:tcPr>
          <w:p>
            <w:pPr>
              <w:jc w:val="both"/>
              <w:rPr>
                <w:szCs w:val="21"/>
                <w:lang w:eastAsia="zh-CN"/>
              </w:rPr>
            </w:pPr>
            <w:r>
              <w:rPr>
                <w:rFonts w:hint="eastAsia"/>
                <w:iCs/>
                <w:szCs w:val="21"/>
                <w:lang w:eastAsia="zh-CN"/>
              </w:rPr>
              <w:t>关键</w:t>
            </w:r>
          </w:p>
        </w:tc>
      </w:tr>
      <w:permEnd w:id="43"/>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color w:val="000000"/>
          <w:szCs w:val="21"/>
          <w:lang w:eastAsia="zh-CN"/>
        </w:rPr>
      </w:pPr>
      <w:permStart w:id="44" w:edGrp="everyone"/>
      <w:r>
        <w:rPr>
          <w:rFonts w:hint="eastAsia"/>
          <w:color w:val="000000"/>
          <w:szCs w:val="21"/>
          <w:lang w:eastAsia="zh-CN"/>
        </w:rPr>
        <w:t>不适用</w:t>
      </w:r>
      <w:permEnd w:id="44"/>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15B"/>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57B69"/>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22B"/>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6D40"/>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5A0B"/>
    <w:rsid w:val="002D691F"/>
    <w:rsid w:val="002D6A50"/>
    <w:rsid w:val="002D6D1C"/>
    <w:rsid w:val="002E1D21"/>
    <w:rsid w:val="002E3B36"/>
    <w:rsid w:val="002E59BF"/>
    <w:rsid w:val="002E63F6"/>
    <w:rsid w:val="002E668B"/>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259"/>
    <w:rsid w:val="00370514"/>
    <w:rsid w:val="0037056A"/>
    <w:rsid w:val="003726DF"/>
    <w:rsid w:val="0037345A"/>
    <w:rsid w:val="00373FFA"/>
    <w:rsid w:val="0037455F"/>
    <w:rsid w:val="00375BC0"/>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23AF"/>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0438"/>
    <w:rsid w:val="00511AB4"/>
    <w:rsid w:val="00512690"/>
    <w:rsid w:val="00512A4E"/>
    <w:rsid w:val="00514EA4"/>
    <w:rsid w:val="00516BB4"/>
    <w:rsid w:val="00517A5D"/>
    <w:rsid w:val="00517E1E"/>
    <w:rsid w:val="00520B8A"/>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07C8"/>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07CA"/>
    <w:rsid w:val="00607170"/>
    <w:rsid w:val="00607408"/>
    <w:rsid w:val="00610AEE"/>
    <w:rsid w:val="00616BAC"/>
    <w:rsid w:val="00617523"/>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97826"/>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4D77"/>
    <w:rsid w:val="00806EAB"/>
    <w:rsid w:val="00810E52"/>
    <w:rsid w:val="00811CA7"/>
    <w:rsid w:val="00815B41"/>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3B8F"/>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32E9"/>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6C9C"/>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24F"/>
    <w:rsid w:val="009B4C17"/>
    <w:rsid w:val="009B5BF6"/>
    <w:rsid w:val="009C1C79"/>
    <w:rsid w:val="009C339C"/>
    <w:rsid w:val="009C33B8"/>
    <w:rsid w:val="009D07A0"/>
    <w:rsid w:val="009D107D"/>
    <w:rsid w:val="009D1871"/>
    <w:rsid w:val="009D2985"/>
    <w:rsid w:val="009D3033"/>
    <w:rsid w:val="009D5770"/>
    <w:rsid w:val="009D6AF5"/>
    <w:rsid w:val="009D6CF1"/>
    <w:rsid w:val="009D731A"/>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63C8"/>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84B"/>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2D2"/>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68FD"/>
    <w:rsid w:val="00C274A6"/>
    <w:rsid w:val="00C278A1"/>
    <w:rsid w:val="00C31C03"/>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67DFC"/>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C4CB4"/>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6B65"/>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9CB"/>
    <w:rsid w:val="00E96D30"/>
    <w:rsid w:val="00EA1327"/>
    <w:rsid w:val="00EA1E2C"/>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00E0"/>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0E3"/>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25E9762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link w:val="47"/>
    <w:qFormat/>
    <w:uiPriority w:val="99"/>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qFormat/>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 w:type="character" w:customStyle="1" w:styleId="47">
    <w:name w:val="正文文本 3 字符"/>
    <w:link w:val="8"/>
    <w:locked/>
    <w:uiPriority w:val="99"/>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682</Words>
  <Characters>3890</Characters>
  <Lines>32</Lines>
  <Paragraphs>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2021-02-20T03:43:00Z</dcterms:created>
  <dc:creator>Lilly</dc:creator>
  <cp:lastModifiedBy>汪洋</cp:lastModifiedBy>
  <cp:lastPrinted>2021-02-20T03:43:00Z</cp:lastPrinted>
  <dcterms:modified xsi:type="dcterms:W3CDTF">2021-03-10T01:44:33Z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