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40"/>
        </w:tabs>
      </w:pPr>
      <w:bookmarkStart w:id="0" w:name="_Toc484532399"/>
      <w:bookmarkStart w:id="1" w:name="_Toc483400307"/>
      <w:bookmarkStart w:id="2" w:name="_Toc483666358"/>
      <w:bookmarkStart w:id="3" w:name="_Toc482717189"/>
      <w:bookmarkStart w:id="4" w:name="_Toc483227223"/>
      <w:r>
        <w:tab/>
      </w:r>
    </w:p>
    <w:p>
      <w:pPr>
        <w:spacing w:after="158" w:afterLines="50"/>
        <w:jc w:val="center"/>
        <w:rPr>
          <w:b/>
          <w:szCs w:val="21"/>
          <w:lang w:eastAsia="zh-CN"/>
        </w:rPr>
      </w:pPr>
      <w:r>
        <w:rPr>
          <w:rFonts w:hint="eastAsia"/>
          <w:b/>
          <w:sz w:val="28"/>
          <w:szCs w:val="28"/>
          <w:lang w:eastAsia="zh-CN"/>
        </w:rPr>
        <w:t>细菌类疫苗室冻干机</w:t>
      </w:r>
      <w:r>
        <w:rPr>
          <w:b/>
          <w:sz w:val="28"/>
          <w:szCs w:val="28"/>
          <w:lang w:eastAsia="zh-CN"/>
        </w:rPr>
        <w:t>用户需求说明（URS</w:t>
      </w:r>
      <w:r>
        <w:rPr>
          <w:b/>
          <w:szCs w:val="21"/>
          <w:lang w:eastAsia="zh-CN"/>
        </w:rPr>
        <w:t>）</w:t>
      </w:r>
      <w:bookmarkEnd w:id="0"/>
      <w:bookmarkEnd w:id="1"/>
      <w:bookmarkEnd w:id="2"/>
      <w:bookmarkEnd w:id="3"/>
      <w:bookmarkEnd w:id="4"/>
    </w:p>
    <w:p>
      <w:pPr>
        <w:spacing w:after="158" w:afterLines="50"/>
        <w:rPr>
          <w:b/>
          <w:szCs w:val="21"/>
          <w:lang w:eastAsia="zh-CN"/>
        </w:rPr>
      </w:pPr>
    </w:p>
    <w:p>
      <w:pPr>
        <w:pStyle w:val="33"/>
        <w:keepNext w:val="0"/>
        <w:keepLines w:val="0"/>
        <w:widowControl w:val="0"/>
        <w:spacing w:after="158" w:afterLines="50" w:line="240" w:lineRule="auto"/>
        <w:rPr>
          <w:sz w:val="21"/>
          <w:szCs w:val="21"/>
          <w:lang w:eastAsia="zh-CN"/>
        </w:rPr>
      </w:pPr>
    </w:p>
    <w:p>
      <w:pPr>
        <w:pStyle w:val="33"/>
        <w:keepNext w:val="0"/>
        <w:keepLines w:val="0"/>
        <w:widowControl w:val="0"/>
        <w:spacing w:after="158" w:afterLines="50" w:line="240" w:lineRule="auto"/>
        <w:jc w:val="center"/>
        <w:rPr>
          <w:sz w:val="21"/>
          <w:szCs w:val="21"/>
          <w:lang w:val="zh-CN" w:eastAsia="zh-CN"/>
        </w:rPr>
      </w:pPr>
      <w:r>
        <w:rPr>
          <w:sz w:val="21"/>
          <w:szCs w:val="21"/>
          <w:lang w:val="zh-CN" w:eastAsia="zh-CN"/>
        </w:rPr>
        <w:t xml:space="preserve">目录 </w:t>
      </w:r>
      <w:bookmarkStart w:id="48" w:name="_GoBack"/>
      <w:bookmarkEnd w:id="48"/>
    </w:p>
    <w:p>
      <w:pPr>
        <w:pStyle w:val="15"/>
        <w:rPr>
          <w:b w:val="0"/>
          <w:bCs w:val="0"/>
          <w:caps w:val="0"/>
          <w:szCs w:val="22"/>
        </w:rPr>
      </w:pPr>
      <w:permStart w:id="0" w:edGrp="everyone"/>
      <w:r>
        <w:fldChar w:fldCharType="begin"/>
      </w:r>
      <w:r>
        <w:instrText xml:space="preserve"> TOC \o "1-2" \h \z \u </w:instrText>
      </w:r>
      <w:r>
        <w:fldChar w:fldCharType="separate"/>
      </w:r>
      <w:r>
        <w:fldChar w:fldCharType="begin"/>
      </w:r>
      <w:r>
        <w:instrText xml:space="preserve"> HYPERLINK \l "_Toc522716114" </w:instrText>
      </w:r>
      <w:r>
        <w:fldChar w:fldCharType="separate"/>
      </w:r>
      <w:r>
        <w:rPr>
          <w:rStyle w:val="23"/>
        </w:rPr>
        <w:t>修订历史</w:t>
      </w:r>
      <w:r>
        <w:tab/>
      </w:r>
      <w:r>
        <w:fldChar w:fldCharType="begin"/>
      </w:r>
      <w:r>
        <w:instrText xml:space="preserve"> PAGEREF _Toc522716114 \h </w:instrText>
      </w:r>
      <w:r>
        <w:fldChar w:fldCharType="separate"/>
      </w:r>
      <w:r>
        <w:t>3</w:t>
      </w:r>
      <w:r>
        <w:fldChar w:fldCharType="end"/>
      </w:r>
      <w:r>
        <w:fldChar w:fldCharType="end"/>
      </w:r>
    </w:p>
    <w:p>
      <w:pPr>
        <w:pStyle w:val="15"/>
        <w:rPr>
          <w:b w:val="0"/>
          <w:bCs w:val="0"/>
          <w:caps w:val="0"/>
          <w:szCs w:val="22"/>
        </w:rPr>
      </w:pPr>
      <w:r>
        <w:fldChar w:fldCharType="begin"/>
      </w:r>
      <w:r>
        <w:instrText xml:space="preserve"> HYPERLINK \l "_Toc522716115" </w:instrText>
      </w:r>
      <w:r>
        <w:fldChar w:fldCharType="separate"/>
      </w:r>
      <w:r>
        <w:rPr>
          <w:rStyle w:val="23"/>
        </w:rPr>
        <w:t>1</w:t>
      </w:r>
      <w:r>
        <w:rPr>
          <w:b w:val="0"/>
          <w:bCs w:val="0"/>
          <w:caps w:val="0"/>
          <w:szCs w:val="22"/>
        </w:rPr>
        <w:tab/>
      </w:r>
      <w:r>
        <w:rPr>
          <w:rStyle w:val="23"/>
        </w:rPr>
        <w:t>目的</w:t>
      </w:r>
      <w:r>
        <w:tab/>
      </w:r>
      <w:r>
        <w:fldChar w:fldCharType="begin"/>
      </w:r>
      <w:r>
        <w:instrText xml:space="preserve"> PAGEREF _Toc522716115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"_Toc522716116" </w:instrText>
      </w:r>
      <w:r>
        <w:fldChar w:fldCharType="separate"/>
      </w:r>
      <w:r>
        <w:rPr>
          <w:rStyle w:val="23"/>
        </w:rPr>
        <w:t>2</w:t>
      </w:r>
      <w:r>
        <w:rPr>
          <w:b w:val="0"/>
          <w:bCs w:val="0"/>
          <w:caps w:val="0"/>
          <w:szCs w:val="22"/>
        </w:rPr>
        <w:tab/>
      </w:r>
      <w:r>
        <w:rPr>
          <w:rStyle w:val="23"/>
        </w:rPr>
        <w:t>范围</w:t>
      </w:r>
      <w:r>
        <w:tab/>
      </w:r>
      <w:r>
        <w:fldChar w:fldCharType="begin"/>
      </w:r>
      <w:r>
        <w:instrText xml:space="preserve"> PAGEREF _Toc522716116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"_Toc522716117" </w:instrText>
      </w:r>
      <w:r>
        <w:fldChar w:fldCharType="separate"/>
      </w:r>
      <w:r>
        <w:rPr>
          <w:rStyle w:val="23"/>
        </w:rPr>
        <w:t>3</w:t>
      </w:r>
      <w:r>
        <w:rPr>
          <w:b w:val="0"/>
          <w:bCs w:val="0"/>
          <w:caps w:val="0"/>
          <w:szCs w:val="22"/>
        </w:rPr>
        <w:tab/>
      </w:r>
      <w:r>
        <w:rPr>
          <w:rStyle w:val="23"/>
        </w:rPr>
        <w:t>参考文件</w:t>
      </w:r>
      <w:r>
        <w:tab/>
      </w:r>
      <w:r>
        <w:fldChar w:fldCharType="begin"/>
      </w:r>
      <w:r>
        <w:instrText xml:space="preserve"> PAGEREF _Toc522716117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"_Toc522716118" </w:instrText>
      </w:r>
      <w:r>
        <w:fldChar w:fldCharType="separate"/>
      </w:r>
      <w:r>
        <w:rPr>
          <w:rStyle w:val="23"/>
        </w:rPr>
        <w:t>4</w:t>
      </w:r>
      <w:r>
        <w:rPr>
          <w:b w:val="0"/>
          <w:bCs w:val="0"/>
          <w:caps w:val="0"/>
          <w:szCs w:val="22"/>
        </w:rPr>
        <w:tab/>
      </w:r>
      <w:r>
        <w:rPr>
          <w:rStyle w:val="23"/>
        </w:rPr>
        <w:t>职责</w:t>
      </w:r>
      <w:r>
        <w:tab/>
      </w:r>
      <w:r>
        <w:fldChar w:fldCharType="begin"/>
      </w:r>
      <w:r>
        <w:instrText xml:space="preserve"> PAGEREF _Toc522716118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"_Toc522716119" </w:instrText>
      </w:r>
      <w:r>
        <w:fldChar w:fldCharType="separate"/>
      </w:r>
      <w:r>
        <w:rPr>
          <w:rStyle w:val="23"/>
        </w:rPr>
        <w:t>5</w:t>
      </w:r>
      <w:r>
        <w:rPr>
          <w:b w:val="0"/>
          <w:bCs w:val="0"/>
          <w:caps w:val="0"/>
          <w:szCs w:val="22"/>
        </w:rPr>
        <w:tab/>
      </w:r>
      <w:r>
        <w:rPr>
          <w:rStyle w:val="23"/>
        </w:rPr>
        <w:t>系统描述</w:t>
      </w:r>
      <w:r>
        <w:tab/>
      </w:r>
      <w:r>
        <w:fldChar w:fldCharType="begin"/>
      </w:r>
      <w:r>
        <w:instrText xml:space="preserve"> PAGEREF _Toc522716119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"_Toc522716120" </w:instrText>
      </w:r>
      <w:r>
        <w:fldChar w:fldCharType="separate"/>
      </w:r>
      <w:r>
        <w:rPr>
          <w:rStyle w:val="23"/>
        </w:rPr>
        <w:t>6</w:t>
      </w:r>
      <w:r>
        <w:rPr>
          <w:b w:val="0"/>
          <w:bCs w:val="0"/>
          <w:caps w:val="0"/>
          <w:szCs w:val="22"/>
        </w:rPr>
        <w:tab/>
      </w:r>
      <w:r>
        <w:rPr>
          <w:rStyle w:val="23"/>
        </w:rPr>
        <w:t>安装要求</w:t>
      </w:r>
      <w:r>
        <w:tab/>
      </w:r>
      <w:r>
        <w:fldChar w:fldCharType="begin"/>
      </w:r>
      <w:r>
        <w:instrText xml:space="preserve"> PAGEREF _Toc522716120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"_Toc522716121" </w:instrText>
      </w:r>
      <w:r>
        <w:fldChar w:fldCharType="separate"/>
      </w:r>
      <w:r>
        <w:rPr>
          <w:rStyle w:val="23"/>
        </w:rPr>
        <w:t>7</w:t>
      </w:r>
      <w:r>
        <w:rPr>
          <w:b w:val="0"/>
          <w:bCs w:val="0"/>
          <w:caps w:val="0"/>
          <w:szCs w:val="22"/>
        </w:rPr>
        <w:tab/>
      </w:r>
      <w:r>
        <w:rPr>
          <w:rStyle w:val="23"/>
        </w:rPr>
        <w:t>运行要求</w:t>
      </w:r>
      <w:r>
        <w:tab/>
      </w:r>
      <w:r>
        <w:fldChar w:fldCharType="begin"/>
      </w:r>
      <w:r>
        <w:instrText xml:space="preserve"> PAGEREF _Toc522716121 \h </w:instrText>
      </w:r>
      <w:r>
        <w:fldChar w:fldCharType="separate"/>
      </w:r>
      <w:r>
        <w:t>6</w:t>
      </w:r>
      <w:r>
        <w:fldChar w:fldCharType="end"/>
      </w:r>
      <w:r>
        <w:fldChar w:fldCharType="end"/>
      </w:r>
    </w:p>
    <w:p>
      <w:pPr>
        <w:pStyle w:val="15"/>
        <w:rPr>
          <w:b w:val="0"/>
          <w:bCs w:val="0"/>
          <w:caps w:val="0"/>
          <w:szCs w:val="22"/>
        </w:rPr>
      </w:pPr>
      <w:r>
        <w:fldChar w:fldCharType="begin"/>
      </w:r>
      <w:r>
        <w:instrText xml:space="preserve"> HYPERLINK \l "_Toc522716122" </w:instrText>
      </w:r>
      <w:r>
        <w:fldChar w:fldCharType="separate"/>
      </w:r>
      <w:r>
        <w:rPr>
          <w:rStyle w:val="23"/>
        </w:rPr>
        <w:t>8</w:t>
      </w:r>
      <w:r>
        <w:rPr>
          <w:b w:val="0"/>
          <w:bCs w:val="0"/>
          <w:caps w:val="0"/>
          <w:szCs w:val="22"/>
        </w:rPr>
        <w:tab/>
      </w:r>
      <w:r>
        <w:rPr>
          <w:rStyle w:val="23"/>
        </w:rPr>
        <w:t>电气、自动控制要求</w:t>
      </w:r>
      <w:r>
        <w:tab/>
      </w:r>
      <w:r>
        <w:fldChar w:fldCharType="begin"/>
      </w:r>
      <w:r>
        <w:instrText xml:space="preserve"> PAGEREF _Toc522716122 \h </w:instrText>
      </w:r>
      <w:r>
        <w:fldChar w:fldCharType="separate"/>
      </w:r>
      <w:r>
        <w:t>7</w:t>
      </w:r>
      <w:r>
        <w:fldChar w:fldCharType="end"/>
      </w:r>
      <w:r>
        <w:fldChar w:fldCharType="end"/>
      </w:r>
    </w:p>
    <w:p>
      <w:pPr>
        <w:pStyle w:val="15"/>
        <w:rPr>
          <w:b w:val="0"/>
          <w:bCs w:val="0"/>
          <w:caps w:val="0"/>
          <w:szCs w:val="22"/>
        </w:rPr>
      </w:pPr>
      <w:r>
        <w:fldChar w:fldCharType="begin"/>
      </w:r>
      <w:r>
        <w:instrText xml:space="preserve"> HYPERLINK \l "_Toc522716123" </w:instrText>
      </w:r>
      <w:r>
        <w:fldChar w:fldCharType="separate"/>
      </w:r>
      <w:r>
        <w:rPr>
          <w:rStyle w:val="23"/>
        </w:rPr>
        <w:t>9</w:t>
      </w:r>
      <w:r>
        <w:rPr>
          <w:b w:val="0"/>
          <w:bCs w:val="0"/>
          <w:caps w:val="0"/>
          <w:szCs w:val="22"/>
        </w:rPr>
        <w:tab/>
      </w:r>
      <w:r>
        <w:rPr>
          <w:rStyle w:val="23"/>
        </w:rPr>
        <w:t>安全要求</w:t>
      </w:r>
      <w:r>
        <w:tab/>
      </w:r>
      <w:r>
        <w:fldChar w:fldCharType="begin"/>
      </w:r>
      <w:r>
        <w:instrText xml:space="preserve"> PAGEREF _Toc522716123 \h </w:instrText>
      </w:r>
      <w:r>
        <w:fldChar w:fldCharType="separate"/>
      </w:r>
      <w:r>
        <w:t>9</w:t>
      </w:r>
      <w:r>
        <w:fldChar w:fldCharType="end"/>
      </w:r>
      <w:r>
        <w:fldChar w:fldCharType="end"/>
      </w:r>
    </w:p>
    <w:p>
      <w:pPr>
        <w:pStyle w:val="15"/>
        <w:rPr>
          <w:b w:val="0"/>
          <w:bCs w:val="0"/>
          <w:caps w:val="0"/>
          <w:szCs w:val="22"/>
        </w:rPr>
      </w:pPr>
      <w:r>
        <w:fldChar w:fldCharType="begin"/>
      </w:r>
      <w:r>
        <w:instrText xml:space="preserve"> HYPERLINK \l "_Toc522716124" </w:instrText>
      </w:r>
      <w:r>
        <w:fldChar w:fldCharType="separate"/>
      </w:r>
      <w:r>
        <w:rPr>
          <w:rStyle w:val="23"/>
        </w:rPr>
        <w:t>10</w:t>
      </w:r>
      <w:r>
        <w:rPr>
          <w:b w:val="0"/>
          <w:bCs w:val="0"/>
          <w:caps w:val="0"/>
          <w:szCs w:val="22"/>
        </w:rPr>
        <w:tab/>
      </w:r>
      <w:r>
        <w:rPr>
          <w:rStyle w:val="23"/>
        </w:rPr>
        <w:t>文件要求</w:t>
      </w:r>
      <w:r>
        <w:tab/>
      </w:r>
      <w:r>
        <w:fldChar w:fldCharType="begin"/>
      </w:r>
      <w:r>
        <w:instrText xml:space="preserve"> PAGEREF _Toc522716124 \h </w:instrText>
      </w:r>
      <w:r>
        <w:fldChar w:fldCharType="separate"/>
      </w:r>
      <w:r>
        <w:t>9</w:t>
      </w:r>
      <w:r>
        <w:fldChar w:fldCharType="end"/>
      </w:r>
      <w:r>
        <w:fldChar w:fldCharType="end"/>
      </w:r>
    </w:p>
    <w:p>
      <w:pPr>
        <w:pStyle w:val="15"/>
        <w:rPr>
          <w:b w:val="0"/>
          <w:bCs w:val="0"/>
          <w:caps w:val="0"/>
          <w:szCs w:val="22"/>
        </w:rPr>
      </w:pPr>
      <w:r>
        <w:fldChar w:fldCharType="begin"/>
      </w:r>
      <w:r>
        <w:instrText xml:space="preserve"> HYPERLINK \l "_Toc522716125" </w:instrText>
      </w:r>
      <w:r>
        <w:fldChar w:fldCharType="separate"/>
      </w:r>
      <w:r>
        <w:rPr>
          <w:rStyle w:val="23"/>
        </w:rPr>
        <w:t>11</w:t>
      </w:r>
      <w:r>
        <w:rPr>
          <w:b w:val="0"/>
          <w:bCs w:val="0"/>
          <w:caps w:val="0"/>
          <w:szCs w:val="22"/>
        </w:rPr>
        <w:tab/>
      </w:r>
      <w:r>
        <w:rPr>
          <w:rStyle w:val="23"/>
        </w:rPr>
        <w:t>服务要求</w:t>
      </w:r>
      <w:r>
        <w:tab/>
      </w:r>
      <w:r>
        <w:fldChar w:fldCharType="begin"/>
      </w:r>
      <w:r>
        <w:instrText xml:space="preserve"> PAGEREF _Toc522716125 \h </w:instrText>
      </w:r>
      <w:r>
        <w:fldChar w:fldCharType="separate"/>
      </w:r>
      <w:r>
        <w:t>10</w:t>
      </w:r>
      <w:r>
        <w:fldChar w:fldCharType="end"/>
      </w:r>
      <w:r>
        <w:fldChar w:fldCharType="end"/>
      </w:r>
    </w:p>
    <w:p>
      <w:pPr>
        <w:pStyle w:val="15"/>
        <w:rPr>
          <w:b w:val="0"/>
          <w:bCs w:val="0"/>
          <w:caps w:val="0"/>
          <w:szCs w:val="22"/>
        </w:rPr>
      </w:pPr>
      <w:r>
        <w:fldChar w:fldCharType="begin"/>
      </w:r>
      <w:r>
        <w:instrText xml:space="preserve"> HYPERLINK \l "_Toc522716126" </w:instrText>
      </w:r>
      <w:r>
        <w:fldChar w:fldCharType="separate"/>
      </w:r>
      <w:r>
        <w:rPr>
          <w:rStyle w:val="23"/>
        </w:rPr>
        <w:t>12</w:t>
      </w:r>
      <w:r>
        <w:rPr>
          <w:b w:val="0"/>
          <w:bCs w:val="0"/>
          <w:caps w:val="0"/>
          <w:szCs w:val="22"/>
        </w:rPr>
        <w:tab/>
      </w:r>
      <w:r>
        <w:rPr>
          <w:rStyle w:val="23"/>
        </w:rPr>
        <w:t>附件</w:t>
      </w:r>
      <w:r>
        <w:tab/>
      </w:r>
      <w:r>
        <w:fldChar w:fldCharType="begin"/>
      </w:r>
      <w:r>
        <w:instrText xml:space="preserve"> PAGEREF _Toc522716126 \h </w:instrText>
      </w:r>
      <w:r>
        <w:fldChar w:fldCharType="separate"/>
      </w:r>
      <w:r>
        <w:t>12</w:t>
      </w:r>
      <w:r>
        <w:fldChar w:fldCharType="end"/>
      </w:r>
      <w:r>
        <w:fldChar w:fldCharType="end"/>
      </w:r>
    </w:p>
    <w:p>
      <w:r>
        <w:fldChar w:fldCharType="end"/>
      </w:r>
      <w:permEnd w:id="0"/>
    </w:p>
    <w:p>
      <w:pPr>
        <w:rPr>
          <w:b/>
          <w:bCs/>
          <w:caps/>
          <w:kern w:val="2"/>
          <w:szCs w:val="21"/>
          <w:lang w:eastAsia="zh-CN"/>
        </w:rPr>
      </w:pPr>
      <w:r>
        <w:rPr>
          <w:b/>
          <w:bCs/>
          <w:caps/>
          <w:kern w:val="2"/>
          <w:szCs w:val="21"/>
          <w:lang w:eastAsia="zh-CN"/>
        </w:rPr>
        <w:br w:type="page"/>
      </w:r>
    </w:p>
    <w:p>
      <w:pPr>
        <w:pStyle w:val="31"/>
        <w:numPr>
          <w:ilvl w:val="0"/>
          <w:numId w:val="3"/>
        </w:numPr>
      </w:pPr>
      <w:bookmarkStart w:id="5" w:name="_Toc522107735"/>
      <w:bookmarkStart w:id="6" w:name="_Toc522716115"/>
      <w:r>
        <w:t>目的</w:t>
      </w:r>
      <w:bookmarkEnd w:id="5"/>
      <w:bookmarkEnd w:id="6"/>
    </w:p>
    <w:p>
      <w:pPr>
        <w:pStyle w:val="41"/>
        <w:spacing w:before="0" w:line="360" w:lineRule="auto"/>
        <w:ind w:left="357"/>
        <w:jc w:val="left"/>
        <w:rPr>
          <w:szCs w:val="21"/>
          <w:lang w:eastAsia="zh-CN"/>
        </w:rPr>
      </w:pPr>
      <w:bookmarkStart w:id="7" w:name="_Toc482370141"/>
      <w:bookmarkStart w:id="8" w:name="_Toc482370061"/>
      <w:bookmarkStart w:id="9" w:name="_Toc482625279"/>
      <w:bookmarkStart w:id="10" w:name="_Toc482370349"/>
      <w:bookmarkStart w:id="11" w:name="_Toc481702475"/>
      <w:bookmarkStart w:id="12" w:name="_Toc482369805"/>
      <w:bookmarkStart w:id="13" w:name="_Toc482360281"/>
      <w:bookmarkStart w:id="14" w:name="_Toc482370757"/>
      <w:bookmarkStart w:id="15" w:name="_Toc482359936"/>
      <w:r>
        <w:rPr>
          <w:szCs w:val="21"/>
          <w:lang w:eastAsia="zh-CN"/>
        </w:rPr>
        <w:t>本文件的目的是描述武汉生物制品研究所有限责任公司</w:t>
      </w:r>
      <w:permStart w:id="1" w:edGrp="everyone"/>
      <w:bookmarkStart w:id="16" w:name="_Hlk203550512"/>
      <w:r>
        <w:rPr>
          <w:rFonts w:hint="eastAsia"/>
          <w:szCs w:val="21"/>
          <w:lang w:eastAsia="zh-CN"/>
        </w:rPr>
        <w:t>细菌类疫苗室冻干机</w:t>
      </w:r>
      <w:permEnd w:id="1"/>
      <w:bookmarkEnd w:id="16"/>
      <w:r>
        <w:rPr>
          <w:szCs w:val="21"/>
          <w:lang w:eastAsia="zh-CN"/>
        </w:rPr>
        <w:t>的用户需求说明（URS），以确保最终用户的需求在项目设计阶段得以实现，并作为后续验证工作的基础。</w:t>
      </w:r>
    </w:p>
    <w:p>
      <w:pPr>
        <w:pStyle w:val="41"/>
        <w:spacing w:before="0"/>
        <w:ind w:left="360"/>
        <w:rPr>
          <w:szCs w:val="21"/>
          <w:lang w:eastAsia="zh-CN"/>
        </w:rPr>
      </w:pPr>
    </w:p>
    <w:p>
      <w:pPr>
        <w:pStyle w:val="31"/>
        <w:numPr>
          <w:ilvl w:val="0"/>
          <w:numId w:val="3"/>
        </w:numPr>
      </w:pPr>
      <w:bookmarkStart w:id="17" w:name="_Toc522107736"/>
      <w:bookmarkStart w:id="18" w:name="_Toc522716116"/>
      <w:r>
        <w:t>范围</w:t>
      </w:r>
      <w:bookmarkEnd w:id="17"/>
      <w:bookmarkEnd w:id="18"/>
    </w:p>
    <w:p>
      <w:pPr>
        <w:pStyle w:val="41"/>
        <w:spacing w:before="0" w:line="360" w:lineRule="auto"/>
        <w:ind w:left="357"/>
        <w:jc w:val="left"/>
        <w:rPr>
          <w:szCs w:val="21"/>
          <w:lang w:eastAsia="zh-CN"/>
        </w:rPr>
      </w:pPr>
      <w:r>
        <w:rPr>
          <w:szCs w:val="21"/>
          <w:lang w:eastAsia="zh-CN"/>
        </w:rPr>
        <w:t>本URS适用于武汉生物制品研究所有限责任公司</w:t>
      </w:r>
      <w:permStart w:id="2" w:edGrp="everyone"/>
      <w:r>
        <w:rPr>
          <w:rFonts w:hint="eastAsia"/>
          <w:szCs w:val="21"/>
          <w:lang w:eastAsia="zh-CN"/>
        </w:rPr>
        <w:t>细菌类疫苗室冻干机</w:t>
      </w:r>
      <w:permEnd w:id="2"/>
      <w:r>
        <w:rPr>
          <w:szCs w:val="21"/>
          <w:lang w:eastAsia="zh-CN"/>
        </w:rPr>
        <w:t>。</w:t>
      </w:r>
      <w:bookmarkEnd w:id="7"/>
      <w:bookmarkEnd w:id="8"/>
      <w:bookmarkEnd w:id="9"/>
      <w:bookmarkEnd w:id="10"/>
      <w:bookmarkEnd w:id="11"/>
      <w:bookmarkEnd w:id="12"/>
      <w:bookmarkEnd w:id="13"/>
      <w:bookmarkEnd w:id="14"/>
      <w:bookmarkEnd w:id="15"/>
    </w:p>
    <w:p>
      <w:pPr>
        <w:pStyle w:val="41"/>
        <w:spacing w:before="0" w:line="360" w:lineRule="auto"/>
        <w:ind w:left="357"/>
        <w:jc w:val="left"/>
        <w:rPr>
          <w:szCs w:val="21"/>
          <w:lang w:eastAsia="zh-CN"/>
        </w:rPr>
      </w:pPr>
    </w:p>
    <w:p>
      <w:pPr>
        <w:pStyle w:val="31"/>
        <w:numPr>
          <w:ilvl w:val="0"/>
          <w:numId w:val="3"/>
        </w:numPr>
      </w:pPr>
      <w:bookmarkStart w:id="19" w:name="_Toc522716117"/>
      <w:bookmarkStart w:id="20" w:name="_Toc522107737"/>
      <w:r>
        <w:t>参考文件</w:t>
      </w:r>
      <w:bookmarkEnd w:id="19"/>
      <w:bookmarkEnd w:id="20"/>
    </w:p>
    <w:p>
      <w:pPr>
        <w:pStyle w:val="41"/>
        <w:numPr>
          <w:ilvl w:val="0"/>
          <w:numId w:val="4"/>
        </w:numPr>
        <w:spacing w:before="0" w:line="360" w:lineRule="auto"/>
        <w:jc w:val="left"/>
        <w:rPr>
          <w:color w:val="000000"/>
          <w:szCs w:val="21"/>
          <w:lang w:eastAsia="zh-CN"/>
        </w:rPr>
      </w:pPr>
      <w:r>
        <w:rPr>
          <w:color w:val="000000"/>
          <w:szCs w:val="21"/>
          <w:lang w:eastAsia="zh-CN"/>
        </w:rPr>
        <w:t>GMP法规指南和SOP</w:t>
      </w:r>
    </w:p>
    <w:p>
      <w:pPr>
        <w:pStyle w:val="41"/>
        <w:numPr>
          <w:ilvl w:val="0"/>
          <w:numId w:val="5"/>
        </w:numPr>
        <w:spacing w:before="0" w:line="360" w:lineRule="auto"/>
        <w:ind w:left="777"/>
        <w:jc w:val="left"/>
        <w:rPr>
          <w:color w:val="000000"/>
          <w:szCs w:val="21"/>
          <w:lang w:eastAsia="zh-CN"/>
        </w:rPr>
      </w:pPr>
      <w:r>
        <w:rPr>
          <w:color w:val="000000"/>
          <w:szCs w:val="21"/>
          <w:lang w:eastAsia="zh-CN"/>
        </w:rPr>
        <w:t>SOP-06-12-0005 用户需求编写审批SOP</w:t>
      </w:r>
    </w:p>
    <w:p>
      <w:pPr>
        <w:pStyle w:val="41"/>
        <w:numPr>
          <w:ilvl w:val="0"/>
          <w:numId w:val="5"/>
        </w:numPr>
        <w:spacing w:before="0" w:line="360" w:lineRule="auto"/>
        <w:ind w:left="777"/>
        <w:jc w:val="left"/>
        <w:rPr>
          <w:color w:val="000000"/>
          <w:szCs w:val="21"/>
          <w:lang w:eastAsia="zh-CN"/>
        </w:rPr>
      </w:pPr>
      <w:permStart w:id="3" w:edGrp="everyone"/>
      <w:r>
        <w:rPr>
          <w:color w:val="000000"/>
          <w:szCs w:val="21"/>
          <w:lang w:eastAsia="zh-CN"/>
        </w:rPr>
        <w:t xml:space="preserve">中国药典 </w:t>
      </w:r>
      <w:r>
        <w:rPr>
          <w:rFonts w:hint="eastAsia"/>
          <w:color w:val="000000"/>
          <w:szCs w:val="21"/>
          <w:lang w:eastAsia="zh-CN"/>
        </w:rPr>
        <w:t>2020</w:t>
      </w:r>
      <w:r>
        <w:rPr>
          <w:color w:val="000000"/>
          <w:szCs w:val="21"/>
          <w:lang w:eastAsia="zh-CN"/>
        </w:rPr>
        <w:t>年版</w:t>
      </w:r>
    </w:p>
    <w:permEnd w:id="3"/>
    <w:p>
      <w:pPr>
        <w:pStyle w:val="41"/>
        <w:numPr>
          <w:ilvl w:val="0"/>
          <w:numId w:val="5"/>
        </w:numPr>
        <w:spacing w:before="0" w:line="360" w:lineRule="auto"/>
        <w:ind w:left="777"/>
        <w:jc w:val="left"/>
        <w:rPr>
          <w:color w:val="000000"/>
          <w:szCs w:val="21"/>
          <w:lang w:eastAsia="zh-CN"/>
        </w:rPr>
      </w:pPr>
      <w:r>
        <w:rPr>
          <w:color w:val="000000"/>
          <w:szCs w:val="21"/>
          <w:lang w:eastAsia="zh-CN"/>
        </w:rPr>
        <w:t>安全及环保法规指南</w:t>
      </w:r>
    </w:p>
    <w:p>
      <w:pPr>
        <w:pStyle w:val="41"/>
        <w:numPr>
          <w:ilvl w:val="0"/>
          <w:numId w:val="5"/>
        </w:numPr>
        <w:spacing w:before="0" w:line="360" w:lineRule="auto"/>
        <w:ind w:left="777"/>
        <w:jc w:val="left"/>
        <w:rPr>
          <w:color w:val="000000"/>
          <w:szCs w:val="21"/>
          <w:lang w:eastAsia="zh-CN"/>
        </w:rPr>
      </w:pPr>
      <w:permStart w:id="4" w:edGrp="everyone"/>
      <w:r>
        <w:rPr>
          <w:color w:val="000000"/>
          <w:szCs w:val="21"/>
          <w:lang w:eastAsia="zh-CN"/>
        </w:rPr>
        <w:t>电气安全应符合GB4793.1和GB4793.4的要求。</w:t>
      </w:r>
    </w:p>
    <w:permEnd w:id="4"/>
    <w:p>
      <w:pPr>
        <w:pStyle w:val="41"/>
        <w:tabs>
          <w:tab w:val="left" w:pos="890"/>
        </w:tabs>
        <w:spacing w:before="0" w:line="360" w:lineRule="auto"/>
        <w:jc w:val="left"/>
        <w:rPr>
          <w:rFonts w:hint="eastAsia"/>
          <w:szCs w:val="21"/>
          <w:lang w:eastAsia="zh-CN"/>
        </w:rPr>
      </w:pPr>
      <w:permStart w:id="5" w:edGrp="everyone"/>
    </w:p>
    <w:permEnd w:id="5"/>
    <w:p>
      <w:pPr>
        <w:pStyle w:val="31"/>
        <w:numPr>
          <w:ilvl w:val="0"/>
          <w:numId w:val="3"/>
        </w:numPr>
      </w:pPr>
      <w:bookmarkStart w:id="21" w:name="_Toc522716119"/>
      <w:bookmarkStart w:id="22" w:name="_Toc522107739"/>
      <w:r>
        <w:t>系统描述</w:t>
      </w:r>
      <w:bookmarkEnd w:id="21"/>
      <w:bookmarkEnd w:id="22"/>
    </w:p>
    <w:p>
      <w:pPr>
        <w:pStyle w:val="41"/>
        <w:spacing w:before="0" w:line="360" w:lineRule="auto"/>
        <w:ind w:left="425"/>
        <w:jc w:val="left"/>
        <w:rPr>
          <w:sz w:val="24"/>
          <w:lang w:eastAsia="zh-CN"/>
        </w:rPr>
      </w:pPr>
      <w:bookmarkStart w:id="23" w:name="_Toc522716120"/>
      <w:r>
        <w:rPr>
          <w:rFonts w:hint="eastAsia" w:ascii="宋体" w:hAnsi="宋体"/>
          <w:lang w:eastAsia="zh-CN"/>
        </w:rPr>
        <w:t>细菌类疫苗室购买</w:t>
      </w:r>
      <w:r>
        <w:rPr>
          <w:rFonts w:hint="eastAsia"/>
          <w:lang w:eastAsia="zh-CN"/>
        </w:rPr>
        <w:t>1</w:t>
      </w:r>
      <w:r>
        <w:rPr>
          <w:rFonts w:hint="eastAsia" w:ascii="宋体" w:hAnsi="宋体"/>
          <w:lang w:eastAsia="zh-CN"/>
        </w:rPr>
        <w:t>台冻干机及其配置，用于毓晋楼百日咳疫苗原液车间菌种的冻干制备。</w:t>
      </w:r>
    </w:p>
    <w:p>
      <w:pPr>
        <w:pStyle w:val="31"/>
        <w:numPr>
          <w:ilvl w:val="0"/>
          <w:numId w:val="3"/>
        </w:numPr>
        <w:rPr>
          <w:rFonts w:hint="eastAsia"/>
        </w:rPr>
      </w:pPr>
      <w:r>
        <w:t>安装要求</w:t>
      </w:r>
      <w:bookmarkEnd w:id="23"/>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027"/>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bookmarkStart w:id="24" w:name="OLE_LINK2"/>
            <w:bookmarkStart w:id="25" w:name="OLE_LINK1"/>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val="en-US" w:eastAsia="zh-CN"/>
              </w:rPr>
            </w:pPr>
            <w:r>
              <w:rPr>
                <w:b/>
                <w:szCs w:val="21"/>
                <w:lang w:eastAsia="zh-CN"/>
              </w:rPr>
              <w:t>关键程度</w:t>
            </w:r>
            <w:r>
              <w:rPr>
                <w:rFonts w:hint="eastAsia"/>
                <w:bCs/>
                <w:szCs w:val="21"/>
                <w:lang w:val="en-US" w:eastAsia="zh-CN"/>
              </w:rPr>
              <w:t>(备注</w:t>
            </w:r>
            <w:r>
              <w:rPr>
                <w:rFonts w:hint="eastAsia" w:ascii="宋体" w:hAnsi="宋体" w:cs="宋体"/>
                <w:szCs w:val="21"/>
                <w:lang w:eastAsia="zh-CN"/>
              </w:rPr>
              <w:t>※</w:t>
            </w:r>
            <w:r>
              <w:rPr>
                <w:rFonts w:hint="eastAsia" w:ascii="宋体" w:hAnsi="宋体" w:cs="宋体"/>
                <w:szCs w:val="21"/>
                <w:lang w:val="en-US" w:eastAsia="zh-CN"/>
              </w:rPr>
              <w:t>的为必须响应）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pPr>
          </w:p>
        </w:tc>
        <w:tc>
          <w:tcPr>
            <w:tcW w:w="9253" w:type="dxa"/>
            <w:gridSpan w:val="2"/>
            <w:shd w:val="clear" w:color="auto" w:fill="D9D9D9"/>
            <w:vAlign w:val="center"/>
          </w:tcPr>
          <w:p>
            <w:pPr>
              <w:jc w:val="both"/>
              <w:rPr>
                <w:szCs w:val="21"/>
                <w:lang w:eastAsia="zh-CN"/>
              </w:rPr>
            </w:pPr>
            <w:r>
              <w:rPr>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6" w:edGrp="everyone"/>
          </w:p>
        </w:tc>
        <w:tc>
          <w:tcPr>
            <w:tcW w:w="7128" w:type="dxa"/>
            <w:shd w:val="clear" w:color="auto" w:fill="auto"/>
            <w:vAlign w:val="center"/>
          </w:tcPr>
          <w:p>
            <w:pPr>
              <w:rPr>
                <w:rFonts w:hint="eastAsia"/>
                <w:i/>
                <w:color w:val="0070C0"/>
                <w:szCs w:val="21"/>
              </w:rPr>
            </w:pPr>
            <w:r>
              <w:rPr>
                <w:rFonts w:hint="eastAsia"/>
                <w:szCs w:val="21"/>
              </w:rPr>
              <w:t>购买1台冻干机，安装于细菌类疫苗室毓晋楼百日咳疫苗原液车间C级区域菌种间</w:t>
            </w:r>
          </w:p>
        </w:tc>
        <w:tc>
          <w:tcPr>
            <w:tcW w:w="2125" w:type="dxa"/>
            <w:shd w:val="clear" w:color="auto" w:fill="auto"/>
            <w:vAlign w:val="center"/>
          </w:tcPr>
          <w:p>
            <w:pPr>
              <w:jc w:val="both"/>
              <w:rPr>
                <w:i/>
                <w:szCs w:val="21"/>
                <w:lang w:eastAsia="zh-CN"/>
              </w:rPr>
            </w:pPr>
            <w:r>
              <w:rPr>
                <w:rFonts w:hint="eastAsia"/>
                <w:szCs w:val="21"/>
              </w:rPr>
              <w:t>关键</w:t>
            </w:r>
          </w:p>
        </w:tc>
      </w:tr>
      <w:perm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pPr>
          </w:p>
        </w:tc>
        <w:tc>
          <w:tcPr>
            <w:tcW w:w="9253"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7" w:edGrp="everyone"/>
          </w:p>
        </w:tc>
        <w:tc>
          <w:tcPr>
            <w:tcW w:w="7128" w:type="dxa"/>
            <w:shd w:val="clear" w:color="auto" w:fill="auto"/>
            <w:vAlign w:val="center"/>
          </w:tcPr>
          <w:p>
            <w:pPr>
              <w:spacing w:line="276" w:lineRule="auto"/>
              <w:jc w:val="both"/>
              <w:rPr>
                <w:rFonts w:hint="eastAsia"/>
                <w:szCs w:val="21"/>
              </w:rPr>
            </w:pPr>
            <w:r>
              <w:rPr>
                <w:rFonts w:hint="eastAsia"/>
                <w:szCs w:val="21"/>
              </w:rPr>
              <w:t>冻干机尺寸：占地面积＜500x500mm</w:t>
            </w:r>
          </w:p>
        </w:tc>
        <w:tc>
          <w:tcPr>
            <w:tcW w:w="2125" w:type="dxa"/>
            <w:shd w:val="clear" w:color="auto" w:fill="auto"/>
            <w:vAlign w:val="center"/>
          </w:tcPr>
          <w:p>
            <w:pPr>
              <w:jc w:val="both"/>
              <w:rPr>
                <w:szCs w:val="21"/>
                <w:lang w:eastAsia="zh-CN"/>
              </w:rPr>
            </w:pPr>
            <w:r>
              <w:rPr>
                <w:rFonts w:hint="eastAsia"/>
                <w:szCs w:val="21"/>
              </w:rPr>
              <w:t>关键</w:t>
            </w:r>
          </w:p>
        </w:tc>
      </w:tr>
      <w:perm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8" w:edGrp="everyone"/>
          </w:p>
        </w:tc>
        <w:tc>
          <w:tcPr>
            <w:tcW w:w="7128" w:type="dxa"/>
            <w:shd w:val="clear" w:color="auto" w:fill="auto"/>
            <w:vAlign w:val="center"/>
          </w:tcPr>
          <w:p>
            <w:pPr>
              <w:spacing w:line="276" w:lineRule="auto"/>
              <w:jc w:val="both"/>
              <w:rPr>
                <w:szCs w:val="21"/>
              </w:rPr>
            </w:pPr>
            <w:r>
              <w:rPr>
                <w:szCs w:val="21"/>
              </w:rPr>
              <w:t>设备的形式尺寸应符合制造商说明书及技术文件规定的要求。</w:t>
            </w:r>
          </w:p>
        </w:tc>
        <w:tc>
          <w:tcPr>
            <w:tcW w:w="2125" w:type="dxa"/>
            <w:shd w:val="clear" w:color="auto" w:fill="auto"/>
            <w:vAlign w:val="center"/>
          </w:tcPr>
          <w:p>
            <w:pPr>
              <w:jc w:val="both"/>
              <w:rPr>
                <w:szCs w:val="21"/>
                <w:lang w:eastAsia="zh-CN"/>
              </w:rPr>
            </w:pPr>
            <w:r>
              <w:rPr>
                <w:rFonts w:hint="eastAsia"/>
                <w:szCs w:val="21"/>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rPr>
            </w:pPr>
            <w:r>
              <w:rPr>
                <w:szCs w:val="21"/>
              </w:rPr>
              <w:t>供应商必须给出设备选型方案及相应附件选型方案，并交给我公司使用部门及工程类部门审核。</w:t>
            </w:r>
          </w:p>
        </w:tc>
        <w:tc>
          <w:tcPr>
            <w:tcW w:w="2125" w:type="dxa"/>
            <w:shd w:val="clear" w:color="auto" w:fill="auto"/>
            <w:vAlign w:val="center"/>
          </w:tcPr>
          <w:p>
            <w:pPr>
              <w:jc w:val="both"/>
              <w:rPr>
                <w:szCs w:val="21"/>
                <w:lang w:eastAsia="zh-CN"/>
              </w:rPr>
            </w:pPr>
            <w:r>
              <w:rPr>
                <w:rFonts w:hint="eastAsia"/>
                <w:szCs w:val="21"/>
              </w:rPr>
              <w:t>关键</w:t>
            </w:r>
          </w:p>
        </w:tc>
      </w:tr>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pPr>
          </w:p>
        </w:tc>
        <w:tc>
          <w:tcPr>
            <w:tcW w:w="9253"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rPr>
                <w:rFonts w:hint="eastAsia"/>
              </w:rPr>
            </w:pPr>
            <w:permStart w:id="9" w:edGrp="everyone"/>
          </w:p>
        </w:tc>
        <w:tc>
          <w:tcPr>
            <w:tcW w:w="9253" w:type="dxa"/>
            <w:gridSpan w:val="2"/>
            <w:shd w:val="clear" w:color="auto" w:fill="auto"/>
            <w:vAlign w:val="center"/>
          </w:tcPr>
          <w:p>
            <w:pPr>
              <w:jc w:val="both"/>
              <w:rPr>
                <w:iCs/>
                <w:color w:val="000000" w:themeColor="text1"/>
                <w:szCs w:val="21"/>
                <w:lang w:eastAsia="zh-CN"/>
                <w14:textFill>
                  <w14:solidFill>
                    <w14:schemeClr w14:val="tx1"/>
                  </w14:solidFill>
                </w14:textFill>
              </w:rPr>
            </w:pPr>
            <w:r>
              <w:rPr>
                <w:rFonts w:hint="eastAsia"/>
                <w:iCs/>
                <w:color w:val="000000" w:themeColor="text1"/>
                <w:szCs w:val="21"/>
                <w:lang w:eastAsia="zh-CN"/>
                <w14:textFill>
                  <w14:solidFill>
                    <w14:schemeClr w14:val="tx1"/>
                  </w14:solidFill>
                </w14:textFill>
              </w:rPr>
              <w:t>N/A</w:t>
            </w: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pPr>
          </w:p>
        </w:tc>
        <w:tc>
          <w:tcPr>
            <w:tcW w:w="9253" w:type="dxa"/>
            <w:gridSpan w:val="2"/>
            <w:shd w:val="clear" w:color="auto" w:fill="D9D9D9"/>
            <w:vAlign w:val="center"/>
          </w:tcPr>
          <w:p>
            <w:pPr>
              <w:jc w:val="both"/>
              <w:rPr>
                <w:color w:val="000000" w:themeColor="text1"/>
                <w:szCs w:val="21"/>
                <w:lang w:eastAsia="zh-CN"/>
                <w14:textFill>
                  <w14:solidFill>
                    <w14:schemeClr w14:val="tx1"/>
                  </w14:solidFill>
                </w14:textFill>
              </w:rPr>
            </w:pPr>
            <w:r>
              <w:rPr>
                <w:color w:val="000000" w:themeColor="text1"/>
                <w:szCs w:val="21"/>
                <w:lang w:eastAsia="zh-CN"/>
                <w14:textFill>
                  <w14:solidFill>
                    <w14:schemeClr w14:val="tx1"/>
                  </w14:solidFill>
                </w14:textFill>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ind w:left="425"/>
              <w:rPr>
                <w:szCs w:val="21"/>
              </w:rPr>
            </w:pPr>
            <w:permStart w:id="10" w:edGrp="everyone"/>
          </w:p>
        </w:tc>
        <w:tc>
          <w:tcPr>
            <w:tcW w:w="9253" w:type="dxa"/>
            <w:gridSpan w:val="2"/>
            <w:shd w:val="clear" w:color="auto" w:fill="auto"/>
            <w:vAlign w:val="center"/>
          </w:tcPr>
          <w:p>
            <w:pPr>
              <w:jc w:val="both"/>
              <w:rPr>
                <w:i/>
                <w:color w:val="000000" w:themeColor="text1"/>
                <w:szCs w:val="21"/>
                <w:lang w:eastAsia="zh-CN"/>
                <w14:textFill>
                  <w14:solidFill>
                    <w14:schemeClr w14:val="tx1"/>
                  </w14:solidFill>
                </w14:textFill>
              </w:rPr>
            </w:pPr>
            <w:r>
              <w:rPr>
                <w:rFonts w:hint="eastAsia"/>
                <w:iCs/>
                <w:color w:val="000000" w:themeColor="text1"/>
                <w:szCs w:val="21"/>
                <w:lang w:eastAsia="zh-CN"/>
                <w14:textFill>
                  <w14:solidFill>
                    <w14:schemeClr w14:val="tx1"/>
                  </w14:solidFill>
                </w14:textFill>
              </w:rPr>
              <w:t>N/A</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pPr>
          </w:p>
        </w:tc>
        <w:tc>
          <w:tcPr>
            <w:tcW w:w="9253" w:type="dxa"/>
            <w:gridSpan w:val="2"/>
            <w:shd w:val="clear" w:color="auto" w:fill="D9D9D9"/>
            <w:vAlign w:val="center"/>
          </w:tcPr>
          <w:p>
            <w:pPr>
              <w:jc w:val="both"/>
              <w:rPr>
                <w:color w:val="000000" w:themeColor="text1"/>
                <w:szCs w:val="21"/>
                <w:lang w:eastAsia="zh-CN"/>
                <w14:textFill>
                  <w14:solidFill>
                    <w14:schemeClr w14:val="tx1"/>
                  </w14:solidFill>
                </w14:textFill>
              </w:rPr>
            </w:pPr>
            <w:r>
              <w:rPr>
                <w:color w:val="000000" w:themeColor="text1"/>
                <w:szCs w:val="21"/>
                <w:lang w:eastAsia="zh-CN"/>
                <w14:textFill>
                  <w14:solidFill>
                    <w14:schemeClr w14:val="tx1"/>
                  </w14:solidFill>
                </w14:textFill>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11" w:edGrp="everyone"/>
          </w:p>
        </w:tc>
        <w:tc>
          <w:tcPr>
            <w:tcW w:w="7128" w:type="dxa"/>
            <w:shd w:val="clear" w:color="auto" w:fill="auto"/>
            <w:vAlign w:val="center"/>
          </w:tcPr>
          <w:p>
            <w:pPr>
              <w:spacing w:line="276" w:lineRule="auto"/>
              <w:jc w:val="both"/>
              <w:rPr>
                <w:color w:val="000000" w:themeColor="text1"/>
                <w:szCs w:val="21"/>
                <w:lang w:eastAsia="zh-CN"/>
                <w14:textFill>
                  <w14:solidFill>
                    <w14:schemeClr w14:val="tx1"/>
                  </w14:solidFill>
                </w14:textFill>
              </w:rPr>
            </w:pPr>
            <w:r>
              <w:rPr>
                <w:color w:val="000000" w:themeColor="text1"/>
                <w:lang w:eastAsia="zh-CN"/>
                <w14:textFill>
                  <w14:solidFill>
                    <w14:schemeClr w14:val="tx1"/>
                  </w14:solidFill>
                </w14:textFill>
              </w:rPr>
              <w:t>工作环境温度：能适应</w:t>
            </w:r>
            <w:r>
              <w:rPr>
                <w:rFonts w:hint="eastAsia"/>
                <w:color w:val="000000" w:themeColor="text1"/>
                <w:lang w:eastAsia="zh-CN"/>
                <w14:textFill>
                  <w14:solidFill>
                    <w14:schemeClr w14:val="tx1"/>
                  </w14:solidFill>
                </w14:textFill>
              </w:rPr>
              <w:t>18</w:t>
            </w:r>
            <w:r>
              <w:rPr>
                <w:rFonts w:hint="eastAsia" w:ascii="宋体" w:hAns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26</w:t>
            </w:r>
            <w:r>
              <w:rPr>
                <w:rFonts w:hint="eastAsia" w:ascii="宋体" w:hAns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环境 </w:t>
            </w:r>
          </w:p>
        </w:tc>
        <w:tc>
          <w:tcPr>
            <w:tcW w:w="2125" w:type="dxa"/>
            <w:shd w:val="clear" w:color="auto" w:fill="auto"/>
            <w:vAlign w:val="center"/>
          </w:tcPr>
          <w:p>
            <w:pPr>
              <w:jc w:val="both"/>
              <w:rPr>
                <w:szCs w:val="21"/>
                <w:lang w:eastAsia="zh-CN"/>
              </w:rPr>
            </w:pPr>
            <w:r>
              <w:rPr>
                <w:rFonts w:hint="eastAsia" w:ascii="宋体" w:hAnsi="宋体"/>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12" w:edGrp="everyone"/>
          </w:p>
        </w:tc>
        <w:tc>
          <w:tcPr>
            <w:tcW w:w="7128" w:type="dxa"/>
            <w:shd w:val="clear" w:color="auto" w:fill="auto"/>
            <w:vAlign w:val="center"/>
          </w:tcPr>
          <w:p>
            <w:pPr>
              <w:spacing w:line="276" w:lineRule="auto"/>
              <w:jc w:val="both"/>
              <w:rPr>
                <w:color w:val="000000" w:themeColor="text1"/>
                <w:szCs w:val="21"/>
                <w:lang w:eastAsia="zh-CN"/>
                <w14:textFill>
                  <w14:solidFill>
                    <w14:schemeClr w14:val="tx1"/>
                  </w14:solidFill>
                </w14:textFill>
              </w:rPr>
            </w:pPr>
            <w:r>
              <w:rPr>
                <w:color w:val="000000" w:themeColor="text1"/>
                <w:lang w:eastAsia="zh-CN"/>
                <w14:textFill>
                  <w14:solidFill>
                    <w14:schemeClr w14:val="tx1"/>
                  </w14:solidFill>
                </w14:textFill>
              </w:rPr>
              <w:t>工作环境湿度：至少包括45%～65%</w:t>
            </w:r>
          </w:p>
        </w:tc>
        <w:tc>
          <w:tcPr>
            <w:tcW w:w="2125" w:type="dxa"/>
            <w:shd w:val="clear" w:color="auto" w:fill="auto"/>
            <w:vAlign w:val="center"/>
          </w:tcPr>
          <w:p>
            <w:pPr>
              <w:jc w:val="both"/>
              <w:rPr>
                <w:szCs w:val="21"/>
                <w:lang w:eastAsia="zh-CN"/>
              </w:rPr>
            </w:pPr>
            <w:r>
              <w:rPr>
                <w:rFonts w:hint="eastAsia" w:ascii="宋体" w:hAnsi="宋体"/>
              </w:rPr>
              <w:t>关键</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13" w:edGrp="everyone"/>
          </w:p>
        </w:tc>
        <w:tc>
          <w:tcPr>
            <w:tcW w:w="7128" w:type="dxa"/>
            <w:shd w:val="clear" w:color="auto" w:fill="auto"/>
            <w:vAlign w:val="center"/>
          </w:tcPr>
          <w:p>
            <w:pPr>
              <w:spacing w:line="276" w:lineRule="auto"/>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工作环境洁净级别：</w:t>
            </w:r>
            <w:r>
              <w:rPr>
                <w:rFonts w:hint="eastAsia"/>
                <w:color w:val="000000" w:themeColor="text1"/>
                <w:lang w:eastAsia="zh-CN"/>
                <w14:textFill>
                  <w14:solidFill>
                    <w14:schemeClr w14:val="tx1"/>
                  </w14:solidFill>
                </w14:textFill>
              </w:rPr>
              <w:t>C级别</w:t>
            </w:r>
            <w:r>
              <w:rPr>
                <w:color w:val="000000" w:themeColor="text1"/>
                <w:lang w:eastAsia="zh-CN"/>
                <w14:textFill>
                  <w14:solidFill>
                    <w14:schemeClr w14:val="tx1"/>
                  </w14:solidFill>
                </w14:textFill>
              </w:rPr>
              <w:t xml:space="preserve"> </w:t>
            </w:r>
          </w:p>
        </w:tc>
        <w:tc>
          <w:tcPr>
            <w:tcW w:w="2125" w:type="dxa"/>
            <w:shd w:val="clear" w:color="auto" w:fill="auto"/>
            <w:vAlign w:val="center"/>
          </w:tcPr>
          <w:p>
            <w:pPr>
              <w:jc w:val="both"/>
              <w:rPr>
                <w:szCs w:val="21"/>
                <w:lang w:eastAsia="zh-CN"/>
              </w:rPr>
            </w:pPr>
            <w:r>
              <w:rPr>
                <w:rFonts w:hint="eastAsia" w:ascii="宋体" w:hAnsi="宋体"/>
              </w:rPr>
              <w:t>关键</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pPr>
          </w:p>
        </w:tc>
        <w:tc>
          <w:tcPr>
            <w:tcW w:w="9253" w:type="dxa"/>
            <w:gridSpan w:val="2"/>
            <w:shd w:val="clear" w:color="auto" w:fill="D9D9D9"/>
            <w:vAlign w:val="center"/>
          </w:tcPr>
          <w:p>
            <w:pPr>
              <w:jc w:val="both"/>
              <w:rPr>
                <w:color w:val="000000" w:themeColor="text1"/>
                <w:szCs w:val="21"/>
                <w:lang w:eastAsia="zh-CN"/>
                <w14:textFill>
                  <w14:solidFill>
                    <w14:schemeClr w14:val="tx1"/>
                  </w14:solidFill>
                </w14:textFill>
              </w:rPr>
            </w:pPr>
            <w:r>
              <w:rPr>
                <w:color w:val="000000" w:themeColor="text1"/>
                <w:lang w:eastAsia="zh-CN"/>
                <w14:textFill>
                  <w14:solidFill>
                    <w14:schemeClr w14:val="tx1"/>
                  </w14:solidFill>
                </w14:textFill>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14" w:edGrp="everyone"/>
          </w:p>
        </w:tc>
        <w:tc>
          <w:tcPr>
            <w:tcW w:w="7128" w:type="dxa"/>
            <w:shd w:val="clear" w:color="auto" w:fill="auto"/>
            <w:vAlign w:val="center"/>
          </w:tcPr>
          <w:p>
            <w:pPr>
              <w:spacing w:line="276" w:lineRule="auto"/>
              <w:jc w:val="both"/>
              <w:rPr>
                <w:rFonts w:hint="eastAsia"/>
                <w:color w:val="000000" w:themeColor="text1"/>
                <w:lang w:val="en-US" w:eastAsia="zh-CN"/>
                <w14:textFill>
                  <w14:solidFill>
                    <w14:schemeClr w14:val="tx1"/>
                  </w14:solidFill>
                </w14:textFill>
              </w:rPr>
            </w:pPr>
            <w:r>
              <w:rPr>
                <w:color w:val="000000" w:themeColor="text1"/>
                <w:lang w:eastAsia="zh-CN"/>
                <w14:textFill>
                  <w14:solidFill>
                    <w14:schemeClr w14:val="tx1"/>
                  </w14:solidFill>
                </w14:textFill>
              </w:rPr>
              <w:t xml:space="preserve">交流电电源：～220±10%V，50±1Hz </w:t>
            </w:r>
            <w:r>
              <w:rPr>
                <w:rFonts w:hint="eastAsia"/>
                <w:color w:val="000000" w:themeColor="text1"/>
                <w:lang w:val="en-US" w:eastAsia="zh-CN"/>
                <w14:textFill>
                  <w14:solidFill>
                    <w14:schemeClr w14:val="tx1"/>
                  </w14:solidFill>
                </w14:textFill>
              </w:rPr>
              <w:t>备用电源可供停电期间冻干机的正常运行</w:t>
            </w:r>
            <w:r>
              <w:rPr>
                <w:color w:val="000000" w:themeColor="text1"/>
                <w:lang w:val="en-US" w:eastAsia="zh-CN"/>
                <w14:textFill>
                  <w14:solidFill>
                    <w14:schemeClr w14:val="tx1"/>
                  </w14:solidFill>
                </w14:textFill>
              </w:rPr>
              <w:t xml:space="preserve"> </w:t>
            </w:r>
          </w:p>
        </w:tc>
        <w:tc>
          <w:tcPr>
            <w:tcW w:w="2125" w:type="dxa"/>
            <w:shd w:val="clear" w:color="auto" w:fill="auto"/>
            <w:vAlign w:val="center"/>
          </w:tcPr>
          <w:p>
            <w:pPr>
              <w:jc w:val="both"/>
              <w:rPr>
                <w:szCs w:val="21"/>
                <w:lang w:eastAsia="zh-CN"/>
              </w:rPr>
            </w:pPr>
            <w:r>
              <w:rPr>
                <w:rFonts w:hint="eastAsia"/>
                <w:szCs w:val="21"/>
                <w:lang w:eastAsia="zh-CN"/>
              </w:rPr>
              <w:t>关键</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pPr>
          </w:p>
        </w:tc>
        <w:tc>
          <w:tcPr>
            <w:tcW w:w="9253" w:type="dxa"/>
            <w:gridSpan w:val="2"/>
            <w:shd w:val="clear" w:color="auto" w:fill="D9D9D9"/>
            <w:vAlign w:val="center"/>
          </w:tcPr>
          <w:p>
            <w:pPr>
              <w:jc w:val="both"/>
              <w:rPr>
                <w:color w:val="000000" w:themeColor="text1"/>
                <w:szCs w:val="21"/>
                <w:lang w:eastAsia="zh-CN"/>
                <w14:textFill>
                  <w14:solidFill>
                    <w14:schemeClr w14:val="tx1"/>
                  </w14:solidFill>
                </w14:textFill>
              </w:rPr>
            </w:pPr>
            <w:r>
              <w:rPr>
                <w:color w:val="000000" w:themeColor="text1"/>
                <w:lang w:eastAsia="zh-CN"/>
                <w14:textFill>
                  <w14:solidFill>
                    <w14:schemeClr w14:val="tx1"/>
                  </w14:solidFill>
                </w14:textFill>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15" w:edGrp="everyone"/>
          </w:p>
        </w:tc>
        <w:tc>
          <w:tcPr>
            <w:tcW w:w="7128" w:type="dxa"/>
            <w:shd w:val="clear" w:color="auto" w:fill="auto"/>
            <w:vAlign w:val="center"/>
          </w:tcPr>
          <w:p>
            <w:pPr>
              <w:spacing w:line="276" w:lineRule="auto"/>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冷阱和冷凝盘管均由316 L不锈钢制成，防腐蚀抗变形，电解抛光处理，易于清洗，冷凝盘管暴露于冷阱内，具有冷阱预冻功能</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采用最少的密封部位，防止系统真空泄漏，耐用的O型环使操作更可靠</w:t>
            </w:r>
          </w:p>
        </w:tc>
        <w:tc>
          <w:tcPr>
            <w:tcW w:w="2125" w:type="dxa"/>
            <w:shd w:val="clear" w:color="auto" w:fill="auto"/>
            <w:vAlign w:val="center"/>
          </w:tcPr>
          <w:p>
            <w:pPr>
              <w:jc w:val="both"/>
              <w:rPr>
                <w:rFonts w:hint="eastAsia"/>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冷阱大开口设计，直径≥300 mm，便于水蒸气快速输送，冷凝管直接位于冷凝腔内，缩短水蒸气传送距离，缩短冷凝时间，提高干燥效率</w:t>
            </w:r>
          </w:p>
        </w:tc>
        <w:tc>
          <w:tcPr>
            <w:tcW w:w="2125" w:type="dxa"/>
            <w:shd w:val="clear" w:color="auto" w:fill="auto"/>
            <w:vAlign w:val="center"/>
          </w:tcPr>
          <w:p>
            <w:pPr>
              <w:jc w:val="both"/>
              <w:rPr>
                <w:rFonts w:hint="eastAsia"/>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干燥附件多种多样，最大限度的满足用户的不同需求</w:t>
            </w:r>
          </w:p>
        </w:tc>
        <w:tc>
          <w:tcPr>
            <w:tcW w:w="2125" w:type="dxa"/>
            <w:shd w:val="clear" w:color="auto" w:fill="auto"/>
            <w:vAlign w:val="center"/>
          </w:tcPr>
          <w:p>
            <w:pPr>
              <w:jc w:val="both"/>
              <w:rPr>
                <w:rFonts w:hint="eastAsia"/>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干燥腔为透明有机玻璃材质，外挂接口≥12个</w:t>
            </w:r>
          </w:p>
        </w:tc>
        <w:tc>
          <w:tcPr>
            <w:tcW w:w="2125" w:type="dxa"/>
            <w:shd w:val="clear" w:color="auto" w:fill="auto"/>
            <w:vAlign w:val="center"/>
          </w:tcPr>
          <w:p>
            <w:pPr>
              <w:jc w:val="both"/>
              <w:rPr>
                <w:rFonts w:hint="eastAsia"/>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配备防老化抗变形的橡胶接头数量≥12个</w:t>
            </w:r>
          </w:p>
        </w:tc>
        <w:tc>
          <w:tcPr>
            <w:tcW w:w="2125" w:type="dxa"/>
            <w:shd w:val="clear" w:color="auto" w:fill="auto"/>
            <w:vAlign w:val="center"/>
          </w:tcPr>
          <w:p>
            <w:pPr>
              <w:jc w:val="both"/>
              <w:rPr>
                <w:rFonts w:hint="eastAsia"/>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配备不锈钢样品搁板，总面积≥0.15 m</w:t>
            </w:r>
            <w:r>
              <w:rPr>
                <w:rFonts w:hint="eastAsia"/>
                <w:color w:val="000000" w:themeColor="text1"/>
                <w:vertAlign w:val="superscript"/>
                <w:lang w:val="en-US" w:eastAsia="zh-CN"/>
                <w14:textFill>
                  <w14:solidFill>
                    <w14:schemeClr w14:val="tx1"/>
                  </w14:solidFill>
                </w14:textFill>
              </w:rPr>
              <w:t>2</w:t>
            </w:r>
          </w:p>
        </w:tc>
        <w:tc>
          <w:tcPr>
            <w:tcW w:w="2125" w:type="dxa"/>
            <w:shd w:val="clear" w:color="auto" w:fill="auto"/>
            <w:vAlign w:val="center"/>
          </w:tcPr>
          <w:p>
            <w:pPr>
              <w:jc w:val="both"/>
              <w:rPr>
                <w:rFonts w:hint="eastAsia"/>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color w:val="000000" w:themeColor="text1"/>
                <w:szCs w:val="21"/>
                <w:lang w:eastAsia="zh-CN"/>
                <w14:textFill>
                  <w14:solidFill>
                    <w14:schemeClr w14:val="tx1"/>
                  </w14:solidFill>
                </w14:textFill>
              </w:rPr>
            </w:pPr>
            <w:r>
              <w:rPr>
                <w:color w:val="000000" w:themeColor="text1"/>
                <w:szCs w:val="21"/>
                <w:lang w:val="en-US" w:eastAsia="zh-CN"/>
                <w14:textFill>
                  <w14:solidFill>
                    <w14:schemeClr w14:val="tx1"/>
                  </w14:solidFill>
                </w14:textFill>
              </w:rPr>
              <w:t>标识</w:t>
            </w:r>
            <w:r>
              <w:rPr>
                <w:color w:val="000000" w:themeColor="text1"/>
                <w:szCs w:val="21"/>
                <w:lang w:eastAsia="zh-CN"/>
                <w14:textFill>
                  <w14:solidFill>
                    <w14:schemeClr w14:val="tx1"/>
                  </w14:solidFill>
                </w14:textFill>
              </w:rPr>
              <w:t xml:space="preserve">：至少应有以下永久贴牢和清楚易认的标识： </w:t>
            </w:r>
          </w:p>
          <w:p>
            <w:pPr>
              <w:spacing w:line="276" w:lineRule="auto"/>
              <w:jc w:val="both"/>
              <w:rPr>
                <w:color w:val="000000" w:themeColor="text1"/>
                <w:szCs w:val="21"/>
                <w:lang w:eastAsia="zh-CN"/>
                <w14:textFill>
                  <w14:solidFill>
                    <w14:schemeClr w14:val="tx1"/>
                  </w14:solidFill>
                </w14:textFill>
              </w:rPr>
            </w:pPr>
            <w:r>
              <w:rPr>
                <w:color w:val="000000" w:themeColor="text1"/>
                <w:szCs w:val="21"/>
                <w:lang w:eastAsia="zh-CN"/>
                <w14:textFill>
                  <w14:solidFill>
                    <w14:schemeClr w14:val="tx1"/>
                  </w14:solidFill>
                </w14:textFill>
              </w:rPr>
              <w:t>（1）制造/供应单位；</w:t>
            </w:r>
          </w:p>
          <w:p>
            <w:pPr>
              <w:spacing w:line="276" w:lineRule="auto"/>
              <w:jc w:val="both"/>
              <w:rPr>
                <w:color w:val="000000" w:themeColor="text1"/>
                <w:szCs w:val="21"/>
                <w:lang w:eastAsia="zh-CN"/>
                <w14:textFill>
                  <w14:solidFill>
                    <w14:schemeClr w14:val="tx1"/>
                  </w14:solidFill>
                </w14:textFill>
              </w:rPr>
            </w:pPr>
            <w:r>
              <w:rPr>
                <w:color w:val="000000" w:themeColor="text1"/>
                <w:szCs w:val="21"/>
                <w:lang w:eastAsia="zh-CN"/>
                <w14:textFill>
                  <w14:solidFill>
                    <w14:schemeClr w14:val="tx1"/>
                  </w14:solidFill>
                </w14:textFill>
              </w:rPr>
              <w:t>（2）产品注册号；</w:t>
            </w:r>
          </w:p>
          <w:p>
            <w:pPr>
              <w:spacing w:line="276" w:lineRule="auto"/>
              <w:jc w:val="both"/>
              <w:rPr>
                <w:color w:val="000000" w:themeColor="text1"/>
                <w:szCs w:val="21"/>
                <w:lang w:eastAsia="zh-CN"/>
                <w14:textFill>
                  <w14:solidFill>
                    <w14:schemeClr w14:val="tx1"/>
                  </w14:solidFill>
                </w14:textFill>
              </w:rPr>
            </w:pPr>
            <w:r>
              <w:rPr>
                <w:color w:val="000000" w:themeColor="text1"/>
                <w:szCs w:val="21"/>
                <w:lang w:eastAsia="zh-CN"/>
                <w14:textFill>
                  <w14:solidFill>
                    <w14:schemeClr w14:val="tx1"/>
                  </w14:solidFill>
                </w14:textFill>
              </w:rPr>
              <w:t>（3）型号；</w:t>
            </w:r>
          </w:p>
          <w:p>
            <w:pPr>
              <w:spacing w:line="276" w:lineRule="auto"/>
              <w:jc w:val="both"/>
              <w:rPr>
                <w:color w:val="000000" w:themeColor="text1"/>
                <w:szCs w:val="21"/>
                <w:lang w:eastAsia="zh-CN"/>
                <w14:textFill>
                  <w14:solidFill>
                    <w14:schemeClr w14:val="tx1"/>
                  </w14:solidFill>
                </w14:textFill>
              </w:rPr>
            </w:pPr>
            <w:r>
              <w:rPr>
                <w:color w:val="000000" w:themeColor="text1"/>
                <w:szCs w:val="21"/>
                <w:lang w:eastAsia="zh-CN"/>
                <w14:textFill>
                  <w14:solidFill>
                    <w14:schemeClr w14:val="tx1"/>
                  </w14:solidFill>
                </w14:textFill>
              </w:rPr>
              <w:t>（4）生产日期或编号；</w:t>
            </w:r>
          </w:p>
          <w:p>
            <w:pPr>
              <w:spacing w:line="276" w:lineRule="auto"/>
              <w:jc w:val="both"/>
              <w:rPr>
                <w:color w:val="000000" w:themeColor="text1"/>
                <w:szCs w:val="21"/>
                <w:lang w:eastAsia="zh-CN"/>
                <w14:textFill>
                  <w14:solidFill>
                    <w14:schemeClr w14:val="tx1"/>
                  </w14:solidFill>
                </w14:textFill>
              </w:rPr>
            </w:pPr>
            <w:r>
              <w:rPr>
                <w:color w:val="000000" w:themeColor="text1"/>
                <w:szCs w:val="21"/>
                <w:lang w:eastAsia="zh-CN"/>
                <w14:textFill>
                  <w14:solidFill>
                    <w14:schemeClr w14:val="tx1"/>
                  </w14:solidFill>
                </w14:textFill>
              </w:rPr>
              <w:t>（5）对设备必要的说明；</w:t>
            </w:r>
          </w:p>
          <w:p>
            <w:pPr>
              <w:pStyle w:val="7"/>
              <w:spacing w:line="276" w:lineRule="auto"/>
              <w:rPr>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w:t>
            </w:r>
            <w:r>
              <w:rPr>
                <w:color w:val="000000" w:themeColor="text1"/>
                <w:sz w:val="21"/>
                <w:szCs w:val="21"/>
                <w:lang w:eastAsia="zh-CN"/>
                <w14:textFill>
                  <w14:solidFill>
                    <w14:schemeClr w14:val="tx1"/>
                  </w14:solidFill>
                </w14:textFill>
              </w:rPr>
              <w:t>6</w:t>
            </w:r>
            <w:r>
              <w:rPr>
                <w:color w:val="000000" w:themeColor="text1"/>
                <w:sz w:val="21"/>
                <w:szCs w:val="21"/>
                <w14:textFill>
                  <w14:solidFill>
                    <w14:schemeClr w14:val="tx1"/>
                  </w14:solidFill>
                </w14:textFill>
              </w:rPr>
              <w:t>）安全标识。</w:t>
            </w:r>
          </w:p>
        </w:tc>
        <w:tc>
          <w:tcPr>
            <w:tcW w:w="2125" w:type="dxa"/>
            <w:shd w:val="clear" w:color="auto" w:fill="auto"/>
            <w:vAlign w:val="center"/>
          </w:tcPr>
          <w:p>
            <w:pPr>
              <w:jc w:val="both"/>
              <w:rPr>
                <w:szCs w:val="21"/>
                <w:lang w:eastAsia="zh-CN"/>
              </w:rPr>
            </w:pPr>
            <w:r>
              <w:rPr>
                <w:rFonts w:hint="eastAsia" w:ascii="宋体" w:hAnsi="宋体"/>
              </w:rPr>
              <w:t>关键</w:t>
            </w:r>
          </w:p>
        </w:tc>
      </w:tr>
      <w:bookmarkEnd w:id="24"/>
      <w:bookmarkEnd w:id="25"/>
      <w:permEnd w:id="15"/>
    </w:tbl>
    <w:p>
      <w:pPr>
        <w:pStyle w:val="31"/>
      </w:pPr>
    </w:p>
    <w:p>
      <w:pPr>
        <w:pStyle w:val="31"/>
        <w:numPr>
          <w:ilvl w:val="0"/>
          <w:numId w:val="3"/>
        </w:numPr>
        <w:rPr>
          <w:rFonts w:hint="eastAsia"/>
          <w:i/>
          <w:szCs w:val="21"/>
        </w:rPr>
      </w:pPr>
      <w:bookmarkStart w:id="26" w:name="_Toc522716121"/>
      <w:bookmarkStart w:id="27" w:name="_Toc522107740"/>
      <w:r>
        <w:t>运行要求</w:t>
      </w:r>
      <w:bookmarkEnd w:id="26"/>
      <w:bookmarkEnd w:id="27"/>
      <w:permStart w:id="16" w:edGrp="everyone"/>
    </w:p>
    <w:permEnd w:id="16"/>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027"/>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pPr>
          </w:p>
        </w:tc>
        <w:tc>
          <w:tcPr>
            <w:tcW w:w="9253"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ind w:left="425"/>
              <w:rPr>
                <w:szCs w:val="21"/>
              </w:rPr>
            </w:pPr>
            <w:permStart w:id="17" w:edGrp="everyone"/>
          </w:p>
        </w:tc>
        <w:tc>
          <w:tcPr>
            <w:tcW w:w="9253" w:type="dxa"/>
            <w:gridSpan w:val="2"/>
            <w:shd w:val="clear" w:color="auto" w:fill="auto"/>
            <w:vAlign w:val="center"/>
          </w:tcPr>
          <w:p>
            <w:pPr>
              <w:jc w:val="both"/>
              <w:rPr>
                <w:rFonts w:hint="eastAsia"/>
                <w:szCs w:val="21"/>
                <w:lang w:eastAsia="zh-CN"/>
              </w:rPr>
            </w:pPr>
            <w:r>
              <w:rPr>
                <w:rFonts w:hint="eastAsia"/>
                <w:szCs w:val="21"/>
                <w:lang w:eastAsia="zh-CN"/>
              </w:rPr>
              <w:t>N/A</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pPr>
          </w:p>
        </w:tc>
        <w:tc>
          <w:tcPr>
            <w:tcW w:w="9253"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18" w:edGrp="everyone"/>
          </w:p>
        </w:tc>
        <w:tc>
          <w:tcPr>
            <w:tcW w:w="7128" w:type="dxa"/>
            <w:shd w:val="clear" w:color="auto" w:fill="auto"/>
            <w:vAlign w:val="center"/>
          </w:tcPr>
          <w:p>
            <w:pPr>
              <w:spacing w:line="276" w:lineRule="auto"/>
              <w:jc w:val="both"/>
              <w:rPr>
                <w:rFonts w:hint="eastAsia"/>
                <w:i/>
                <w:color w:val="0070C0"/>
                <w:lang w:val="en-US" w:eastAsia="zh-CN"/>
              </w:rPr>
            </w:pPr>
            <w:r>
              <w:rPr>
                <w:rFonts w:hint="eastAsia"/>
                <w:color w:val="000000" w:themeColor="text1"/>
                <w:szCs w:val="21"/>
                <w14:textFill>
                  <w14:solidFill>
                    <w14:schemeClr w14:val="tx1"/>
                  </w14:solidFill>
                </w14:textFill>
              </w:rPr>
              <w:t>冻干菌种，0-200管/次</w:t>
            </w:r>
          </w:p>
        </w:tc>
        <w:tc>
          <w:tcPr>
            <w:tcW w:w="2125" w:type="dxa"/>
            <w:shd w:val="clear" w:color="auto" w:fill="auto"/>
            <w:vAlign w:val="center"/>
          </w:tcPr>
          <w:p>
            <w:pPr>
              <w:jc w:val="both"/>
              <w:rPr>
                <w:szCs w:val="21"/>
                <w:lang w:eastAsia="zh-CN"/>
              </w:rPr>
            </w:pPr>
            <w:r>
              <w:rPr>
                <w:rFonts w:hint="eastAsia"/>
                <w:szCs w:val="21"/>
                <w:lang w:eastAsia="zh-CN"/>
              </w:rPr>
              <w:t>关键</w:t>
            </w:r>
          </w:p>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pPr>
          </w:p>
        </w:tc>
        <w:tc>
          <w:tcPr>
            <w:tcW w:w="9253"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19" w:edGrp="everyone"/>
          </w:p>
        </w:tc>
        <w:tc>
          <w:tcPr>
            <w:tcW w:w="7128" w:type="dxa"/>
            <w:shd w:val="clear" w:color="auto" w:fill="auto"/>
            <w:vAlign w:val="center"/>
          </w:tcPr>
          <w:p>
            <w:pPr>
              <w:spacing w:line="276" w:lineRule="auto"/>
              <w:jc w:val="both"/>
              <w:rPr>
                <w:rFonts w:hint="eastAsia"/>
                <w:szCs w:val="21"/>
                <w:lang w:val="en-US" w:eastAsia="zh-CN"/>
              </w:rPr>
            </w:pPr>
            <w:r>
              <w:rPr>
                <w:rFonts w:hint="eastAsia"/>
                <w:szCs w:val="21"/>
                <w:lang w:val="en-US" w:eastAsia="zh-CN"/>
              </w:rPr>
              <w:t>冻干机冷阱温度≤-55℃</w:t>
            </w:r>
          </w:p>
        </w:tc>
        <w:tc>
          <w:tcPr>
            <w:tcW w:w="2125" w:type="dxa"/>
            <w:shd w:val="clear" w:color="auto" w:fill="auto"/>
          </w:tcPr>
          <w:p>
            <w:pPr>
              <w:jc w:val="both"/>
              <w:rPr>
                <w:rFonts w:hint="default"/>
                <w:szCs w:val="21"/>
                <w:lang w:val="en-US" w:eastAsia="zh-CN"/>
              </w:rPr>
            </w:pPr>
            <w:r>
              <w:rPr>
                <w:rFonts w:hint="eastAsia"/>
                <w:szCs w:val="21"/>
                <w:lang w:eastAsia="zh-CN"/>
              </w:rPr>
              <w:t>关键</w:t>
            </w:r>
            <w:r>
              <w:rPr>
                <w:rFonts w:hint="eastAsia"/>
                <w:szCs w:val="21"/>
                <w:lang w:val="en-US" w:eastAsia="zh-CN"/>
              </w:rPr>
              <w:t>*</w:t>
            </w:r>
          </w:p>
        </w:tc>
      </w:tr>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20" w:edGrp="everyone"/>
          </w:p>
        </w:tc>
        <w:tc>
          <w:tcPr>
            <w:tcW w:w="7128" w:type="dxa"/>
            <w:shd w:val="clear" w:color="auto" w:fill="auto"/>
            <w:vAlign w:val="center"/>
          </w:tcPr>
          <w:p>
            <w:pPr>
              <w:spacing w:line="276" w:lineRule="auto"/>
              <w:jc w:val="both"/>
              <w:rPr>
                <w:rFonts w:hint="eastAsia"/>
                <w:szCs w:val="21"/>
                <w:lang w:val="en-US" w:eastAsia="zh-CN"/>
              </w:rPr>
            </w:pPr>
            <w:r>
              <w:rPr>
                <w:rFonts w:hint="eastAsia"/>
                <w:szCs w:val="21"/>
                <w:lang w:val="en-US" w:eastAsia="zh-CN"/>
              </w:rPr>
              <w:t>温度监测精度：0.1℃</w:t>
            </w:r>
          </w:p>
        </w:tc>
        <w:tc>
          <w:tcPr>
            <w:tcW w:w="2125" w:type="dxa"/>
            <w:shd w:val="clear" w:color="auto" w:fill="auto"/>
          </w:tcPr>
          <w:p>
            <w:pPr>
              <w:jc w:val="both"/>
              <w:rPr>
                <w:rFonts w:hint="default"/>
                <w:szCs w:val="21"/>
                <w:lang w:val="en-US" w:eastAsia="zh-CN"/>
              </w:rPr>
            </w:pPr>
            <w:r>
              <w:rPr>
                <w:rFonts w:hint="eastAsia"/>
                <w:szCs w:val="21"/>
                <w:lang w:eastAsia="zh-CN"/>
              </w:rPr>
              <w:t>关键</w:t>
            </w: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rFonts w:hint="eastAsia"/>
                <w:szCs w:val="21"/>
                <w:lang w:val="en-US" w:eastAsia="zh-CN"/>
              </w:rPr>
            </w:pPr>
            <w:r>
              <w:rPr>
                <w:rFonts w:hint="eastAsia"/>
                <w:szCs w:val="21"/>
                <w:lang w:val="en-US" w:eastAsia="zh-CN"/>
              </w:rPr>
              <w:t>真空度显示范围0.001-1000mbar，显示精度为0.001mbar，真空传感器为派纳尼真空传感器</w:t>
            </w:r>
          </w:p>
        </w:tc>
        <w:tc>
          <w:tcPr>
            <w:tcW w:w="2125" w:type="dxa"/>
            <w:shd w:val="clear" w:color="auto" w:fill="auto"/>
          </w:tcPr>
          <w:p>
            <w:pPr>
              <w:jc w:val="both"/>
              <w:rPr>
                <w:rFonts w:hint="default"/>
                <w:szCs w:val="21"/>
                <w:lang w:val="en-US" w:eastAsia="zh-CN"/>
              </w:rPr>
            </w:pPr>
            <w:r>
              <w:rPr>
                <w:rFonts w:hint="eastAsia"/>
                <w:szCs w:val="21"/>
                <w:lang w:eastAsia="zh-CN"/>
              </w:rPr>
              <w:t>关键</w:t>
            </w: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rFonts w:hint="eastAsia"/>
                <w:szCs w:val="21"/>
                <w:lang w:val="en-US" w:eastAsia="zh-CN"/>
              </w:rPr>
            </w:pPr>
            <w:r>
              <w:rPr>
                <w:rFonts w:hint="eastAsia"/>
                <w:szCs w:val="21"/>
                <w:lang w:val="en-US" w:eastAsia="zh-CN"/>
              </w:rPr>
              <w:t>真空泵抽气速率≥38 L/min，需配备油雾过滤器，减少对实验室环境的污染</w:t>
            </w:r>
          </w:p>
        </w:tc>
        <w:tc>
          <w:tcPr>
            <w:tcW w:w="2125" w:type="dxa"/>
            <w:shd w:val="clear" w:color="auto" w:fill="auto"/>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rFonts w:hint="eastAsia"/>
                <w:szCs w:val="21"/>
                <w:lang w:val="en-US" w:eastAsia="zh-CN"/>
              </w:rPr>
            </w:pPr>
            <w:r>
              <w:rPr>
                <w:rFonts w:hint="eastAsia"/>
                <w:szCs w:val="21"/>
                <w:lang w:val="en-US" w:eastAsia="zh-CN"/>
              </w:rPr>
              <w:t>冷阱最大凝冰量≥4Kg</w:t>
            </w:r>
          </w:p>
        </w:tc>
        <w:tc>
          <w:tcPr>
            <w:tcW w:w="2125" w:type="dxa"/>
            <w:shd w:val="clear" w:color="auto" w:fill="auto"/>
          </w:tcPr>
          <w:p>
            <w:pPr>
              <w:jc w:val="both"/>
              <w:rPr>
                <w:rFonts w:hint="default"/>
                <w:szCs w:val="21"/>
                <w:lang w:val="en-US" w:eastAsia="zh-CN"/>
              </w:rPr>
            </w:pPr>
            <w:r>
              <w:rPr>
                <w:rFonts w:hint="eastAsia"/>
                <w:szCs w:val="21"/>
                <w:lang w:eastAsia="zh-CN"/>
              </w:rPr>
              <w:t>关键</w:t>
            </w: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rFonts w:hint="eastAsia"/>
                <w:szCs w:val="21"/>
                <w:lang w:val="en-US" w:eastAsia="zh-CN"/>
              </w:rPr>
            </w:pPr>
            <w:r>
              <w:rPr>
                <w:rFonts w:hint="eastAsia"/>
                <w:szCs w:val="21"/>
                <w:lang w:val="en-US" w:eastAsia="zh-CN"/>
              </w:rPr>
              <w:t>冷阱凝冰效率≥3Kg/24h</w:t>
            </w:r>
          </w:p>
        </w:tc>
        <w:tc>
          <w:tcPr>
            <w:tcW w:w="2125" w:type="dxa"/>
            <w:shd w:val="clear" w:color="auto" w:fill="auto"/>
          </w:tcPr>
          <w:p>
            <w:pPr>
              <w:jc w:val="both"/>
              <w:rPr>
                <w:rFonts w:hint="default"/>
                <w:szCs w:val="21"/>
                <w:lang w:val="en-US" w:eastAsia="zh-CN"/>
              </w:rPr>
            </w:pPr>
            <w:r>
              <w:rPr>
                <w:rFonts w:hint="eastAsia"/>
                <w:szCs w:val="21"/>
                <w:lang w:eastAsia="zh-CN"/>
              </w:rPr>
              <w:t>关键</w:t>
            </w: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rFonts w:hint="eastAsia"/>
                <w:szCs w:val="21"/>
                <w:lang w:val="en-US" w:eastAsia="zh-CN"/>
              </w:rPr>
            </w:pPr>
            <w:r>
              <w:rPr>
                <w:rFonts w:hint="eastAsia"/>
                <w:szCs w:val="21"/>
                <w:lang w:val="en-US" w:eastAsia="zh-CN"/>
              </w:rPr>
              <w:t>系统极限真空≤0.05mbar</w:t>
            </w:r>
          </w:p>
        </w:tc>
        <w:tc>
          <w:tcPr>
            <w:tcW w:w="2125" w:type="dxa"/>
            <w:shd w:val="clear" w:color="auto" w:fill="auto"/>
          </w:tcPr>
          <w:p>
            <w:pPr>
              <w:jc w:val="both"/>
              <w:rPr>
                <w:rFonts w:hint="default"/>
                <w:szCs w:val="21"/>
                <w:lang w:val="en-US" w:eastAsia="zh-CN"/>
              </w:rPr>
            </w:pPr>
            <w:r>
              <w:rPr>
                <w:rFonts w:hint="eastAsia"/>
                <w:szCs w:val="21"/>
                <w:lang w:eastAsia="zh-CN"/>
              </w:rPr>
              <w:t>关键</w:t>
            </w:r>
            <w:r>
              <w:rPr>
                <w:rFonts w:hint="eastAsia"/>
                <w:szCs w:val="21"/>
                <w:lang w:val="en-US" w:eastAsia="zh-CN"/>
              </w:rPr>
              <w:t>*</w:t>
            </w: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pPr>
          </w:p>
        </w:tc>
        <w:tc>
          <w:tcPr>
            <w:tcW w:w="9253"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21" w:edGrp="everyone"/>
          </w:p>
        </w:tc>
        <w:tc>
          <w:tcPr>
            <w:tcW w:w="7128" w:type="dxa"/>
            <w:shd w:val="clear" w:color="auto" w:fill="auto"/>
            <w:vAlign w:val="center"/>
          </w:tcPr>
          <w:p>
            <w:pPr>
              <w:spacing w:line="276" w:lineRule="auto"/>
              <w:jc w:val="both"/>
              <w:rPr>
                <w:szCs w:val="21"/>
                <w:lang w:eastAsia="zh-CN"/>
              </w:rPr>
            </w:pPr>
            <w:r>
              <w:rPr>
                <w:rFonts w:hint="eastAsia" w:ascii="宋体" w:hAnsi="宋体"/>
              </w:rPr>
              <w:t>内室尺寸≥</w:t>
            </w:r>
            <w:r>
              <w:rPr>
                <w:rFonts w:hint="eastAsia"/>
              </w:rPr>
              <w:t>6.5L</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i/>
                <w:color w:val="0070C0"/>
                <w:szCs w:val="21"/>
                <w:lang w:eastAsia="zh-CN"/>
              </w:rPr>
            </w:pPr>
            <w:r>
              <w:rPr>
                <w:rFonts w:hint="eastAsia" w:ascii="宋体" w:hAnsi="宋体"/>
                <w:lang w:eastAsia="zh-CN"/>
              </w:rPr>
              <w:t>压缩机制冷功率≥</w:t>
            </w:r>
            <w:r>
              <w:rPr>
                <w:rFonts w:hint="eastAsia"/>
                <w:lang w:eastAsia="zh-CN"/>
              </w:rPr>
              <w:t>0.51KW</w:t>
            </w:r>
          </w:p>
        </w:tc>
        <w:tc>
          <w:tcPr>
            <w:tcW w:w="2125" w:type="dxa"/>
            <w:shd w:val="clear" w:color="auto" w:fill="auto"/>
            <w:vAlign w:val="center"/>
          </w:tcPr>
          <w:p>
            <w:pPr>
              <w:jc w:val="both"/>
              <w:rPr>
                <w:rFonts w:hint="default"/>
                <w:szCs w:val="21"/>
                <w:lang w:val="en-US"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i/>
                <w:color w:val="0070C0"/>
                <w:szCs w:val="21"/>
                <w:lang w:eastAsia="zh-CN"/>
              </w:rPr>
            </w:pPr>
            <w:r>
              <w:rPr>
                <w:rFonts w:hint="eastAsia" w:ascii="宋体" w:hAnsi="宋体"/>
                <w:lang w:eastAsia="zh-CN"/>
              </w:rPr>
              <w:t>设备运行时，冻干机的噪音（离设备</w:t>
            </w:r>
            <w:r>
              <w:rPr>
                <w:rFonts w:hint="eastAsia"/>
                <w:lang w:eastAsia="zh-CN"/>
              </w:rPr>
              <w:t>1</w:t>
            </w:r>
            <w:r>
              <w:rPr>
                <w:rFonts w:hint="eastAsia" w:ascii="宋体" w:hAnsi="宋体"/>
                <w:lang w:eastAsia="zh-CN"/>
              </w:rPr>
              <w:t>米远）≤</w:t>
            </w:r>
            <w:r>
              <w:rPr>
                <w:rFonts w:hint="eastAsia"/>
                <w:lang w:eastAsia="zh-CN"/>
              </w:rPr>
              <w:t>54 dB(A)</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i/>
                <w:color w:val="0070C0"/>
                <w:szCs w:val="21"/>
                <w:lang w:eastAsia="zh-CN"/>
              </w:rPr>
            </w:pPr>
            <w:r>
              <w:rPr>
                <w:rFonts w:hint="eastAsia" w:ascii="宋体" w:hAnsi="宋体"/>
                <w:lang w:eastAsia="zh-CN"/>
              </w:rPr>
              <w:t>采用碳氢类环保制冷剂，</w:t>
            </w:r>
            <w:r>
              <w:rPr>
                <w:rFonts w:hint="eastAsia"/>
                <w:lang w:eastAsia="zh-CN"/>
              </w:rPr>
              <w:t>GWP</w:t>
            </w:r>
            <w:r>
              <w:rPr>
                <w:rFonts w:hint="eastAsia" w:ascii="宋体" w:hAnsi="宋体"/>
                <w:lang w:eastAsia="zh-CN"/>
              </w:rPr>
              <w:t>（全球变暖潜能值）≤</w:t>
            </w:r>
            <w:r>
              <w:rPr>
                <w:rFonts w:hint="eastAsia"/>
                <w:lang w:eastAsia="zh-CN"/>
              </w:rPr>
              <w:t>10</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i/>
                <w:color w:val="0070C0"/>
                <w:szCs w:val="21"/>
                <w:lang w:eastAsia="zh-CN"/>
              </w:rPr>
            </w:pPr>
            <w:r>
              <w:rPr>
                <w:rFonts w:hint="eastAsia" w:ascii="宋体" w:hAnsi="宋体"/>
                <w:lang w:eastAsia="zh-CN"/>
              </w:rPr>
              <w:t>配备真空电磁阀，实现真空度的自动控制</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lang w:eastAsia="zh-CN"/>
              </w:rPr>
              <w:t>操作及监视界面信息应包括但不限于：设备工艺流程图、阀门及设备的开启和关闭、各部件的运行状态、报警和警告</w:t>
            </w:r>
          </w:p>
        </w:tc>
        <w:tc>
          <w:tcPr>
            <w:tcW w:w="2125" w:type="dxa"/>
            <w:shd w:val="clear" w:color="auto" w:fill="auto"/>
            <w:vAlign w:val="center"/>
          </w:tcPr>
          <w:p>
            <w:pPr>
              <w:jc w:val="both"/>
              <w:rPr>
                <w:szCs w:val="21"/>
                <w:lang w:eastAsia="zh-CN"/>
              </w:rPr>
            </w:pPr>
            <w:r>
              <w:rPr>
                <w:rFonts w:hint="eastAsia"/>
                <w:szCs w:val="21"/>
                <w:lang w:eastAsia="zh-CN"/>
              </w:rPr>
              <w:t>关键</w:t>
            </w:r>
          </w:p>
        </w:tc>
      </w:tr>
      <w:permEnd w:id="21"/>
    </w:tbl>
    <w:p>
      <w:pPr>
        <w:pStyle w:val="31"/>
        <w:numPr>
          <w:ilvl w:val="0"/>
          <w:numId w:val="3"/>
        </w:numPr>
        <w:rPr>
          <w:rFonts w:hint="eastAsia"/>
          <w:color w:val="auto"/>
          <w:szCs w:val="22"/>
        </w:rPr>
      </w:pPr>
      <w:bookmarkStart w:id="28" w:name="_Toc522716122"/>
      <w:bookmarkStart w:id="29" w:name="_Toc522107742"/>
      <w:bookmarkStart w:id="30" w:name="_Toc482370767"/>
      <w:bookmarkStart w:id="31" w:name="_Toc483400317"/>
      <w:bookmarkStart w:id="32" w:name="_Toc482717202"/>
      <w:bookmarkStart w:id="33" w:name="_Toc482625289"/>
      <w:bookmarkStart w:id="34" w:name="_Toc482359946"/>
      <w:bookmarkStart w:id="35" w:name="_Toc483227237"/>
      <w:bookmarkStart w:id="36" w:name="_Toc481702480"/>
      <w:bookmarkStart w:id="37" w:name="_Toc482370359"/>
      <w:bookmarkStart w:id="38" w:name="_Toc482370071"/>
      <w:bookmarkStart w:id="39" w:name="_Toc482369815"/>
      <w:bookmarkStart w:id="40" w:name="_Toc482370151"/>
      <w:bookmarkStart w:id="41" w:name="_Toc482360291"/>
      <w:r>
        <w:t>电气、自动控制要求</w:t>
      </w:r>
      <w:bookmarkEnd w:id="28"/>
      <w:permStart w:id="22" w:edGrp="everyone"/>
    </w:p>
    <w:permEnd w:id="22"/>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027"/>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9"/>
              </w:numPr>
            </w:pPr>
          </w:p>
        </w:tc>
        <w:tc>
          <w:tcPr>
            <w:tcW w:w="925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23" w:edGrp="everyone"/>
          </w:p>
        </w:tc>
        <w:tc>
          <w:tcPr>
            <w:tcW w:w="7128" w:type="dxa"/>
            <w:shd w:val="clear" w:color="auto" w:fill="auto"/>
            <w:vAlign w:val="center"/>
          </w:tcPr>
          <w:p>
            <w:pPr>
              <w:spacing w:line="276" w:lineRule="auto"/>
              <w:jc w:val="both"/>
              <w:rPr>
                <w:i/>
                <w:szCs w:val="21"/>
                <w:lang w:eastAsia="zh-CN"/>
              </w:rPr>
            </w:pPr>
            <w:r>
              <w:rPr>
                <w:rFonts w:hint="eastAsia" w:ascii="宋体" w:hAnsi="宋体"/>
                <w:lang w:eastAsia="zh-CN"/>
              </w:rPr>
              <w:t>具有断电恢复功能，意外断电时，冻干系统自动进入安全状态，所有动作停止，靠良好的系统密封性实现样品短期安全；恢复供电后，设备在确保安全的情况下，自动回归原运行状态，以保护产品安全。</w:t>
            </w:r>
          </w:p>
        </w:tc>
        <w:tc>
          <w:tcPr>
            <w:tcW w:w="2125" w:type="dxa"/>
            <w:shd w:val="clear" w:color="auto" w:fill="auto"/>
            <w:vAlign w:val="center"/>
          </w:tcPr>
          <w:p>
            <w:pPr>
              <w:jc w:val="both"/>
              <w:rPr>
                <w:rFonts w:hint="eastAsia" w:eastAsia="宋体"/>
                <w:szCs w:val="21"/>
                <w:lang w:val="en-US" w:eastAsia="zh-CN"/>
              </w:rPr>
            </w:pPr>
            <w:r>
              <w:rPr>
                <w:rFonts w:hint="eastAsia" w:ascii="宋体" w:hAnsi="宋体"/>
              </w:rPr>
              <w:t>关键</w:t>
            </w:r>
            <w:r>
              <w:rPr>
                <w:rFonts w:hint="eastAsia" w:ascii="宋体" w:hAnsi="宋体"/>
                <w:lang w:val="en-US" w:eastAsia="zh-CN"/>
              </w:rPr>
              <w:t>*</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24" w:edGrp="everyone"/>
          </w:p>
        </w:tc>
        <w:tc>
          <w:tcPr>
            <w:tcW w:w="7128" w:type="dxa"/>
            <w:shd w:val="clear" w:color="auto" w:fill="auto"/>
            <w:vAlign w:val="center"/>
          </w:tcPr>
          <w:p>
            <w:pPr>
              <w:spacing w:line="276" w:lineRule="auto"/>
              <w:jc w:val="both"/>
              <w:rPr>
                <w:szCs w:val="21"/>
                <w:lang w:eastAsia="zh-CN"/>
              </w:rPr>
            </w:pPr>
            <w:r>
              <w:rPr>
                <w:rFonts w:hint="eastAsia" w:ascii="宋体" w:hAnsi="宋体"/>
                <w:lang w:eastAsia="zh-CN"/>
              </w:rPr>
              <w:t>冷阱应具备热气除霜功能，可设置除霜时间，缩短冻干批次时间间隔</w:t>
            </w:r>
          </w:p>
        </w:tc>
        <w:tc>
          <w:tcPr>
            <w:tcW w:w="2125" w:type="dxa"/>
            <w:shd w:val="clear" w:color="auto" w:fill="auto"/>
            <w:vAlign w:val="center"/>
          </w:tcPr>
          <w:p>
            <w:pPr>
              <w:jc w:val="both"/>
              <w:rPr>
                <w:rFonts w:hint="eastAsia" w:eastAsia="宋体"/>
                <w:szCs w:val="21"/>
                <w:lang w:val="en-US" w:eastAsia="zh-CN"/>
              </w:rPr>
            </w:pPr>
            <w:r>
              <w:rPr>
                <w:rFonts w:hint="eastAsia" w:ascii="宋体" w:hAnsi="宋体"/>
              </w:rPr>
              <w:t>关键</w:t>
            </w:r>
            <w:r>
              <w:rPr>
                <w:rFonts w:hint="eastAsia" w:ascii="宋体" w:hAnsi="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lang w:eastAsia="zh-CN"/>
              </w:rPr>
              <w:t>设备控制器应能够定时提醒泵油更换和维护保养，并且能够记录报错故障，同时显示冻干机各部件实际运行总时间，以便于维修故障判断</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lang w:eastAsia="zh-CN"/>
              </w:rPr>
              <w:t>设备控制器应内置性能测试和泄露率测试程序，用于定期检查设备性能状态</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lang w:eastAsia="zh-CN"/>
              </w:rPr>
              <w:t>可设置超过</w:t>
            </w:r>
            <w:r>
              <w:rPr>
                <w:rFonts w:hint="eastAsia"/>
                <w:color w:val="000000"/>
                <w:lang w:eastAsia="zh-CN"/>
              </w:rPr>
              <w:t>10</w:t>
            </w:r>
            <w:r>
              <w:rPr>
                <w:rFonts w:hint="eastAsia" w:ascii="宋体" w:hAnsi="宋体"/>
                <w:color w:val="000000"/>
                <w:lang w:eastAsia="zh-CN"/>
              </w:rPr>
              <w:t>种操作语言，包括中文和英文操作系统</w:t>
            </w:r>
          </w:p>
        </w:tc>
        <w:tc>
          <w:tcPr>
            <w:tcW w:w="2125" w:type="dxa"/>
            <w:shd w:val="clear" w:color="auto" w:fill="auto"/>
            <w:vAlign w:val="center"/>
          </w:tcPr>
          <w:p>
            <w:pPr>
              <w:jc w:val="both"/>
              <w:rPr>
                <w:szCs w:val="21"/>
                <w:lang w:eastAsia="zh-CN"/>
              </w:rPr>
            </w:pPr>
            <w:r>
              <w:rPr>
                <w:rFonts w:hint="eastAsia" w:ascii="宋体" w:hAnsi="宋体"/>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lang w:eastAsia="zh-CN"/>
              </w:rPr>
              <w:t>配备满足要求的真空传感器和真空控制器</w:t>
            </w:r>
          </w:p>
        </w:tc>
        <w:tc>
          <w:tcPr>
            <w:tcW w:w="2125" w:type="dxa"/>
            <w:shd w:val="clear" w:color="auto" w:fill="auto"/>
            <w:vAlign w:val="center"/>
          </w:tcPr>
          <w:p>
            <w:pPr>
              <w:jc w:val="both"/>
              <w:rPr>
                <w:szCs w:val="21"/>
                <w:lang w:eastAsia="zh-CN"/>
              </w:rPr>
            </w:pPr>
            <w:r>
              <w:rPr>
                <w:rFonts w:hint="eastAsia" w:ascii="宋体" w:hAnsi="宋体"/>
              </w:rPr>
              <w:t>关键</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9"/>
              </w:numPr>
            </w:pPr>
          </w:p>
        </w:tc>
        <w:tc>
          <w:tcPr>
            <w:tcW w:w="925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25" w:edGrp="everyone"/>
          </w:p>
        </w:tc>
        <w:tc>
          <w:tcPr>
            <w:tcW w:w="7128" w:type="dxa"/>
            <w:shd w:val="clear" w:color="auto" w:fill="auto"/>
            <w:vAlign w:val="center"/>
          </w:tcPr>
          <w:p>
            <w:pPr>
              <w:spacing w:line="276" w:lineRule="auto"/>
              <w:jc w:val="both"/>
              <w:rPr>
                <w:szCs w:val="21"/>
                <w:lang w:eastAsia="zh-CN"/>
              </w:rPr>
            </w:pPr>
            <w:r>
              <w:rPr>
                <w:rFonts w:hint="eastAsia" w:ascii="宋体" w:hAnsi="宋体"/>
                <w:lang w:eastAsia="zh-CN"/>
              </w:rPr>
              <w:t>彩色触摸屏操作面板≥</w:t>
            </w:r>
            <w:r>
              <w:rPr>
                <w:rFonts w:hint="eastAsia"/>
                <w:lang w:eastAsia="zh-CN"/>
              </w:rPr>
              <w:t>5.7</w:t>
            </w:r>
            <w:r>
              <w:rPr>
                <w:rFonts w:hint="eastAsia" w:ascii="宋体" w:hAnsi="宋体"/>
                <w:lang w:eastAsia="zh-CN"/>
              </w:rPr>
              <w:t>英寸，清楚显示主要过程参数，如冷阱温度、冻干时间、分段时间和腔体真空度</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lang w:eastAsia="zh-CN"/>
              </w:rPr>
              <w:t>配有关键参数设置界面，显示运行状态，运行状态将冻干过程分为预冻，预热泵，主干燥，二次干燥，待机等几个阶段，并能实现连续阶段的自动跳转</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ascii="宋体" w:hAnsi="宋体"/>
                <w:color w:val="000000"/>
                <w:lang w:eastAsia="zh-CN"/>
              </w:rPr>
              <w:t>屏幕显示的日期，名称，运行时间，运行</w:t>
            </w:r>
            <w:r>
              <w:rPr>
                <w:rFonts w:hint="eastAsia" w:ascii="宋体" w:hAnsi="宋体"/>
                <w:color w:val="000000"/>
                <w:lang w:eastAsia="zh-CN"/>
              </w:rPr>
              <w:t>电子</w:t>
            </w:r>
            <w:r>
              <w:rPr>
                <w:rFonts w:ascii="宋体" w:hAnsi="宋体"/>
                <w:color w:val="000000"/>
                <w:lang w:eastAsia="zh-CN"/>
              </w:rPr>
              <w:t>数据</w:t>
            </w:r>
            <w:r>
              <w:rPr>
                <w:rFonts w:hint="eastAsia" w:ascii="宋体" w:hAnsi="宋体"/>
                <w:color w:val="000000"/>
                <w:lang w:eastAsia="zh-CN"/>
              </w:rPr>
              <w:t>。</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lang w:eastAsia="zh-CN"/>
              </w:rPr>
              <w:t>具备数据存储功能，具备数据备份与恢复功能，计算计化系统应具备可升级的功能接口</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lang w:eastAsia="zh-CN"/>
              </w:rPr>
              <w:t>仪器软件具有至少</w:t>
            </w:r>
            <w:r>
              <w:rPr>
                <w:color w:val="000000"/>
                <w:lang w:eastAsia="zh-CN"/>
              </w:rPr>
              <w:t>3</w:t>
            </w:r>
            <w:r>
              <w:rPr>
                <w:rFonts w:hint="eastAsia" w:ascii="宋体" w:hAnsi="宋体"/>
                <w:color w:val="000000"/>
                <w:lang w:eastAsia="zh-CN"/>
              </w:rPr>
              <w:t>级用户分层权限管理及密码管理的功能</w:t>
            </w:r>
            <w:r>
              <w:rPr>
                <w:rFonts w:hint="eastAsia" w:ascii="宋体" w:hAnsi="宋体"/>
                <w:color w:val="FF0000"/>
                <w:highlight w:val="none"/>
                <w:lang w:eastAsia="zh-CN"/>
              </w:rPr>
              <w:t>，</w:t>
            </w:r>
            <w:r>
              <w:rPr>
                <w:rFonts w:hint="eastAsia" w:ascii="宋体" w:hAnsi="宋体"/>
                <w:color w:val="FF0000"/>
                <w:highlight w:val="none"/>
                <w:lang w:val="en-US" w:eastAsia="zh-CN"/>
              </w:rPr>
              <w:t>具备管理员、操作员、工艺员，且有功能划分。</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lang w:eastAsia="zh-CN"/>
              </w:rPr>
              <w:t>仪器软件应可以设置多个用户，并有用户分级管理功能，每个等级拥有相应的权限</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lang w:eastAsia="zh-CN"/>
              </w:rPr>
              <w:t>系统应能形成系统日志，可以记录系统和安全的事件，比如登录登出、密码更改、方法参数更改、记录删除及操作人员和日期时间等</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lang w:eastAsia="zh-CN"/>
              </w:rPr>
              <w:t>系统管理员应可以重置密码</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lang w:eastAsia="zh-CN"/>
              </w:rPr>
              <w:t>系统管理员应可以激活锁住的账户，系统必须具有超时强制退出要求重新登录的功能。</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lang w:eastAsia="zh-CN"/>
              </w:rPr>
              <w:t>系统应可以允许管理员更改密码</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lang w:eastAsia="zh-CN"/>
              </w:rPr>
              <w:t>应有控制措施以防止电子记录从应用软件外面被修改或删除。使用者应不能修改测试结果</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rFonts w:hint="eastAsia" w:ascii="宋体" w:hAnsi="宋体"/>
                <w:color w:val="000000"/>
                <w:lang w:eastAsia="zh-CN"/>
              </w:rPr>
            </w:pPr>
            <w:r>
              <w:rPr>
                <w:rFonts w:hint="eastAsia" w:ascii="宋体" w:hAnsi="宋体"/>
                <w:color w:val="FF0000"/>
                <w:lang w:val="en-US" w:eastAsia="zh-CN"/>
              </w:rPr>
              <w:t>设备具备报警功能，对于系统运行异常及在使用过程中的偏离设计要求的情况，能进行报警提示。</w:t>
            </w:r>
          </w:p>
        </w:tc>
        <w:tc>
          <w:tcPr>
            <w:tcW w:w="2125" w:type="dxa"/>
            <w:shd w:val="clear" w:color="auto" w:fill="auto"/>
            <w:vAlign w:val="center"/>
          </w:tcPr>
          <w:p>
            <w:pPr>
              <w:jc w:val="both"/>
              <w:rPr>
                <w:rFonts w:hint="eastAsia" w:ascii="宋体" w:hAnsi="宋体"/>
              </w:rPr>
            </w:pPr>
            <w:r>
              <w:rPr>
                <w:rFonts w:hint="eastAsia" w:ascii="宋体" w:hAnsi="宋体"/>
                <w:lang w:val="en-US" w:eastAsia="zh-CN"/>
              </w:rPr>
              <w:t>关键</w:t>
            </w:r>
          </w:p>
        </w:tc>
      </w:tr>
      <w:permEnd w:id="25"/>
    </w:tbl>
    <w:p>
      <w:pPr>
        <w:spacing w:after="158" w:afterLines="50"/>
        <w:rPr>
          <w:b/>
          <w:lang w:eastAsia="zh-CN"/>
        </w:rPr>
      </w:pPr>
    </w:p>
    <w:p>
      <w:pPr>
        <w:pStyle w:val="31"/>
        <w:numPr>
          <w:ilvl w:val="0"/>
          <w:numId w:val="3"/>
        </w:numPr>
        <w:rPr>
          <w:rFonts w:hint="eastAsia"/>
          <w:color w:val="auto"/>
          <w:szCs w:val="22"/>
        </w:rPr>
      </w:pPr>
      <w:bookmarkStart w:id="42" w:name="_Toc522716123"/>
      <w:r>
        <w:t>安全要求</w:t>
      </w:r>
      <w:bookmarkEnd w:id="29"/>
      <w:bookmarkEnd w:id="42"/>
      <w:permStart w:id="26" w:edGrp="everyone"/>
    </w:p>
    <w:permEnd w:id="26"/>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027"/>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0"/>
              </w:numPr>
            </w:pPr>
          </w:p>
        </w:tc>
        <w:tc>
          <w:tcPr>
            <w:tcW w:w="9253" w:type="dxa"/>
            <w:gridSpan w:val="2"/>
            <w:shd w:val="clear" w:color="auto" w:fill="D9D9D9"/>
            <w:vAlign w:val="center"/>
          </w:tcPr>
          <w:p>
            <w:pPr>
              <w:jc w:val="both"/>
              <w:rPr>
                <w:szCs w:val="21"/>
                <w:lang w:eastAsia="zh-CN"/>
              </w:rPr>
            </w:pPr>
            <w:r>
              <w:rPr>
                <w:szCs w:val="21"/>
                <w:lang w:eastAsia="zh-CN"/>
              </w:rPr>
              <w:t xml:space="preserve"> 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ind w:left="425"/>
              <w:rPr>
                <w:szCs w:val="21"/>
              </w:rPr>
            </w:pPr>
            <w:permStart w:id="27" w:edGrp="everyone"/>
          </w:p>
        </w:tc>
        <w:tc>
          <w:tcPr>
            <w:tcW w:w="9253" w:type="dxa"/>
            <w:gridSpan w:val="2"/>
            <w:shd w:val="clear" w:color="auto" w:fill="auto"/>
            <w:vAlign w:val="center"/>
          </w:tcPr>
          <w:p>
            <w:pPr>
              <w:jc w:val="both"/>
              <w:rPr>
                <w:rFonts w:hint="eastAsia"/>
                <w:szCs w:val="21"/>
                <w:lang w:eastAsia="zh-CN"/>
              </w:rPr>
            </w:pPr>
            <w:r>
              <w:rPr>
                <w:rFonts w:hint="eastAsia"/>
                <w:szCs w:val="21"/>
                <w:lang w:eastAsia="zh-CN"/>
              </w:rPr>
              <w:t>N/A</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0"/>
              </w:numPr>
            </w:pPr>
          </w:p>
        </w:tc>
        <w:tc>
          <w:tcPr>
            <w:tcW w:w="7128"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28" w:edGrp="everyone"/>
          </w:p>
        </w:tc>
        <w:tc>
          <w:tcPr>
            <w:tcW w:w="7128" w:type="dxa"/>
            <w:shd w:val="clear" w:color="auto" w:fill="auto"/>
            <w:vAlign w:val="center"/>
          </w:tcPr>
          <w:p>
            <w:pPr>
              <w:jc w:val="both"/>
              <w:rPr>
                <w:lang w:val="en-US" w:eastAsia="zh-CN"/>
              </w:rPr>
            </w:pPr>
            <w:r>
              <w:rPr>
                <w:rFonts w:hint="eastAsia" w:ascii="宋体" w:hAnsi="宋体"/>
                <w:lang w:eastAsia="zh-CN"/>
              </w:rPr>
              <w:t>电控系统所用部件和材料必须符合专业质量标准要求，且装配联接符合设计要求和相关专业质量标准要求，具有良好的绝缘和接地保护。安全保护接地需符合国家标准。</w:t>
            </w:r>
          </w:p>
          <w:p>
            <w:pPr>
              <w:jc w:val="both"/>
              <w:rPr>
                <w:szCs w:val="21"/>
                <w:lang w:eastAsia="zh-CN"/>
              </w:rPr>
            </w:pPr>
            <w:r>
              <w:rPr>
                <w:rFonts w:hint="eastAsia" w:ascii="宋体" w:hAnsi="宋体"/>
              </w:rPr>
              <w:t>保护等级：</w:t>
            </w:r>
            <w:r>
              <w:rPr>
                <w:rFonts w:hint="eastAsia"/>
              </w:rPr>
              <w:t xml:space="preserve">NEMA4X/IP56 </w:t>
            </w:r>
          </w:p>
        </w:tc>
        <w:tc>
          <w:tcPr>
            <w:tcW w:w="2125" w:type="dxa"/>
            <w:shd w:val="clear" w:color="auto" w:fill="auto"/>
            <w:vAlign w:val="center"/>
          </w:tcPr>
          <w:p>
            <w:pPr>
              <w:jc w:val="both"/>
              <w:rPr>
                <w:rFonts w:hint="eastAsia" w:eastAsia="宋体"/>
                <w:szCs w:val="21"/>
                <w:lang w:val="en-US" w:eastAsia="zh-CN"/>
              </w:rPr>
            </w:pPr>
            <w:r>
              <w:rPr>
                <w:rFonts w:hint="eastAsia" w:ascii="宋体" w:hAnsi="宋体"/>
              </w:rPr>
              <w:t>关键</w:t>
            </w:r>
            <w:r>
              <w:rPr>
                <w:rFonts w:hint="eastAsia" w:ascii="宋体" w:hAnsi="宋体"/>
                <w:lang w:val="en-US" w:eastAsia="zh-CN"/>
              </w:rPr>
              <w:t>*</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29" w:edGrp="everyone"/>
          </w:p>
        </w:tc>
        <w:tc>
          <w:tcPr>
            <w:tcW w:w="7128" w:type="dxa"/>
            <w:shd w:val="clear" w:color="auto" w:fill="auto"/>
            <w:vAlign w:val="center"/>
          </w:tcPr>
          <w:p>
            <w:pPr>
              <w:jc w:val="both"/>
              <w:rPr>
                <w:b/>
                <w:bCs/>
              </w:rPr>
            </w:pPr>
            <w:r>
              <w:rPr>
                <w:rFonts w:hint="eastAsia" w:ascii="宋体" w:hAnsi="宋体"/>
                <w:b/>
                <w:bCs/>
              </w:rPr>
              <w:t>其他保护：</w:t>
            </w:r>
          </w:p>
          <w:p>
            <w:pPr>
              <w:numPr>
                <w:ilvl w:val="0"/>
                <w:numId w:val="11"/>
              </w:numPr>
              <w:jc w:val="both"/>
              <w:rPr>
                <w:lang w:eastAsia="zh-CN"/>
              </w:rPr>
            </w:pPr>
            <w:r>
              <w:rPr>
                <w:rFonts w:hint="eastAsia" w:ascii="宋体" w:hAnsi="宋体"/>
                <w:lang w:eastAsia="zh-CN"/>
              </w:rPr>
              <w:t>设备热表面或发热部件上的明显部位必须设有警告标识。</w:t>
            </w:r>
          </w:p>
          <w:p>
            <w:pPr>
              <w:numPr>
                <w:ilvl w:val="0"/>
                <w:numId w:val="11"/>
              </w:numPr>
              <w:jc w:val="both"/>
              <w:rPr>
                <w:lang w:eastAsia="zh-CN"/>
              </w:rPr>
            </w:pPr>
            <w:r>
              <w:rPr>
                <w:rFonts w:hint="eastAsia" w:ascii="宋体" w:hAnsi="宋体"/>
                <w:lang w:eastAsia="zh-CN"/>
              </w:rPr>
              <w:t>设备操作位置及设备维修区域必须设易于人员接近的急停按钮，并有明显的标示。</w:t>
            </w:r>
          </w:p>
          <w:p>
            <w:pPr>
              <w:jc w:val="both"/>
              <w:rPr>
                <w:szCs w:val="21"/>
                <w:lang w:eastAsia="zh-CN"/>
              </w:rPr>
            </w:pPr>
            <w:r>
              <w:rPr>
                <w:rFonts w:hint="eastAsia" w:ascii="宋体" w:hAnsi="宋体"/>
                <w:lang w:eastAsia="zh-CN"/>
              </w:rPr>
              <w:t>设备危险传动部位及高温部位应有防护装置。</w:t>
            </w:r>
          </w:p>
        </w:tc>
        <w:tc>
          <w:tcPr>
            <w:tcW w:w="2125" w:type="dxa"/>
            <w:shd w:val="clear" w:color="auto" w:fill="auto"/>
            <w:vAlign w:val="center"/>
          </w:tcPr>
          <w:p>
            <w:pPr>
              <w:jc w:val="both"/>
              <w:rPr>
                <w:szCs w:val="21"/>
                <w:lang w:eastAsia="zh-CN"/>
              </w:rPr>
            </w:pPr>
            <w:r>
              <w:rPr>
                <w:rFonts w:hint="eastAsia" w:ascii="宋体" w:hAnsi="宋体"/>
              </w:rPr>
              <w:t>关键</w:t>
            </w:r>
          </w:p>
        </w:tc>
      </w:tr>
      <w:permEnd w:id="29"/>
    </w:tbl>
    <w:p>
      <w:pPr>
        <w:rPr>
          <w:szCs w:val="21"/>
          <w:lang w:eastAsia="zh-CN"/>
        </w:rPr>
      </w:pPr>
    </w:p>
    <w:p>
      <w:pPr>
        <w:pStyle w:val="31"/>
        <w:numPr>
          <w:ilvl w:val="0"/>
          <w:numId w:val="3"/>
        </w:numPr>
        <w:rPr>
          <w:rFonts w:hint="eastAsia"/>
          <w:szCs w:val="22"/>
        </w:rPr>
      </w:pPr>
      <w:bookmarkStart w:id="43" w:name="_Toc522716124"/>
      <w:bookmarkStart w:id="44" w:name="_Toc522107743"/>
      <w:r>
        <w:t>文件要求</w:t>
      </w:r>
      <w:bookmarkEnd w:id="43"/>
      <w:bookmarkEnd w:id="44"/>
      <w:permStart w:id="30" w:edGrp="everyone"/>
    </w:p>
    <w:permEnd w:id="30"/>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027"/>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31" w:edGrp="everyone"/>
          </w:p>
        </w:tc>
        <w:tc>
          <w:tcPr>
            <w:tcW w:w="7128" w:type="dxa"/>
            <w:shd w:val="clear" w:color="auto" w:fill="auto"/>
            <w:vAlign w:val="center"/>
          </w:tcPr>
          <w:p>
            <w:pPr>
              <w:jc w:val="both"/>
              <w:rPr>
                <w:szCs w:val="21"/>
                <w:lang w:eastAsia="zh-CN"/>
              </w:rPr>
            </w:pPr>
            <w:r>
              <w:rPr>
                <w:lang w:eastAsia="zh-CN"/>
              </w:rPr>
              <w:t xml:space="preserve"> </w:t>
            </w:r>
            <w:r>
              <w:rPr>
                <w:rFonts w:hint="eastAsia" w:ascii="宋体" w:hAnsi="宋体"/>
                <w:lang w:eastAsia="zh-CN"/>
              </w:rPr>
              <w:t>投标文件、合同及订单。卖方发运清单及相关检验报告。</w:t>
            </w:r>
          </w:p>
        </w:tc>
        <w:tc>
          <w:tcPr>
            <w:tcW w:w="2125" w:type="dxa"/>
            <w:shd w:val="clear" w:color="auto" w:fill="auto"/>
            <w:vAlign w:val="center"/>
          </w:tcPr>
          <w:p>
            <w:pPr>
              <w:jc w:val="both"/>
              <w:rPr>
                <w:szCs w:val="21"/>
                <w:lang w:eastAsia="zh-CN"/>
              </w:rPr>
            </w:pPr>
            <w:r>
              <w:rPr>
                <w:rFonts w:hint="eastAsia" w:ascii="宋体" w:hAnsi="宋体"/>
              </w:rPr>
              <w:t>关键</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32" w:edGrp="everyone"/>
          </w:p>
        </w:tc>
        <w:tc>
          <w:tcPr>
            <w:tcW w:w="7128" w:type="dxa"/>
            <w:shd w:val="clear" w:color="auto" w:fill="auto"/>
            <w:vAlign w:val="center"/>
          </w:tcPr>
          <w:p>
            <w:pPr>
              <w:jc w:val="both"/>
              <w:rPr>
                <w:szCs w:val="21"/>
                <w:lang w:eastAsia="zh-CN"/>
              </w:rPr>
            </w:pPr>
            <w:r>
              <w:rPr>
                <w:rFonts w:hint="eastAsia" w:ascii="宋体" w:hAnsi="宋体"/>
                <w:color w:val="000000"/>
                <w:lang w:eastAsia="zh-CN"/>
              </w:rPr>
              <w:t>设计选型文件：设备详细功能说明、设计说明、配置说明与清单。</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jc w:val="both"/>
              <w:rPr>
                <w:szCs w:val="21"/>
                <w:lang w:eastAsia="zh-CN"/>
              </w:rPr>
            </w:pPr>
            <w:r>
              <w:rPr>
                <w:rFonts w:hint="eastAsia" w:ascii="宋体" w:hAnsi="宋体"/>
                <w:lang w:eastAsia="zh-CN"/>
              </w:rPr>
              <w:t>配件清单、易损件清单、备件、消耗品清单：包括名称、编号、对应厂家名称、生产地、规格及必要说明。</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jc w:val="both"/>
              <w:rPr>
                <w:szCs w:val="21"/>
                <w:lang w:eastAsia="zh-CN"/>
              </w:rPr>
            </w:pPr>
            <w:r>
              <w:rPr>
                <w:rFonts w:hint="eastAsia" w:ascii="宋体" w:hAnsi="宋体"/>
                <w:lang w:eastAsia="zh-CN"/>
              </w:rPr>
              <w:t>设备厂家文件：相关检测报告、各种标示</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jc w:val="both"/>
              <w:rPr>
                <w:szCs w:val="21"/>
                <w:lang w:eastAsia="zh-CN"/>
              </w:rPr>
            </w:pPr>
            <w:r>
              <w:rPr>
                <w:rFonts w:hint="eastAsia" w:ascii="宋体" w:hAnsi="宋体"/>
              </w:rPr>
              <w:t>提供关键设备清单。</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jc w:val="both"/>
              <w:rPr>
                <w:szCs w:val="21"/>
                <w:lang w:eastAsia="zh-CN"/>
              </w:rPr>
            </w:pPr>
            <w:r>
              <w:rPr>
                <w:rFonts w:hint="eastAsia" w:ascii="宋体" w:hAnsi="宋体"/>
                <w:lang w:eastAsia="zh-CN"/>
              </w:rPr>
              <w:t>设备操作手册（SOP）：语言为中文，应说明校准周期，并能提供校准服务。</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jc w:val="both"/>
              <w:rPr>
                <w:szCs w:val="21"/>
                <w:lang w:eastAsia="zh-CN"/>
              </w:rPr>
            </w:pPr>
            <w:r>
              <w:rPr>
                <w:rFonts w:hint="eastAsia" w:ascii="宋体" w:hAnsi="宋体"/>
                <w:lang w:eastAsia="zh-CN"/>
              </w:rPr>
              <w:t>现场验收测试报告（SAT），以及调试文件：现场验收测试报告、调试计划（调试说明、调试清单、现场验收测试、保修信息、培训计划等），总测试计划，检查计划，检测清单，各测试结果，调试总结报告等。</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jc w:val="both"/>
              <w:rPr>
                <w:rFonts w:ascii="宋体" w:hAnsi="宋体"/>
                <w:color w:val="000000"/>
              </w:rPr>
            </w:pPr>
            <w:r>
              <w:rPr>
                <w:rFonts w:hint="eastAsia" w:ascii="宋体" w:hAnsi="宋体"/>
              </w:rPr>
              <w:t>验证</w:t>
            </w:r>
            <w:r>
              <w:rPr>
                <w:rFonts w:hint="eastAsia" w:ascii="宋体" w:hAnsi="宋体"/>
                <w:color w:val="000000"/>
              </w:rPr>
              <w:t>文件：</w:t>
            </w:r>
          </w:p>
          <w:p>
            <w:pPr>
              <w:rPr>
                <w:rFonts w:hint="eastAsia" w:ascii="宋体" w:hAnsi="宋体"/>
                <w:color w:val="000000"/>
              </w:rPr>
            </w:pPr>
            <w:r>
              <w:rPr>
                <w:rFonts w:hint="eastAsia" w:ascii="宋体" w:hAnsi="宋体"/>
                <w:color w:val="000000"/>
              </w:rPr>
              <w:t>（1）验证计划</w:t>
            </w:r>
          </w:p>
          <w:p>
            <w:pPr>
              <w:rPr>
                <w:rFonts w:hint="eastAsia" w:ascii="宋体" w:hAnsi="宋体"/>
                <w:color w:val="000000"/>
                <w:lang w:eastAsia="zh-CN"/>
              </w:rPr>
            </w:pPr>
            <w:r>
              <w:rPr>
                <w:rFonts w:hint="eastAsia" w:ascii="宋体" w:hAnsi="宋体"/>
                <w:color w:val="000000"/>
                <w:lang w:eastAsia="zh-CN"/>
              </w:rPr>
              <w:t>（2）满足GMP和GAMP5等相关法规的评估文件</w:t>
            </w:r>
          </w:p>
          <w:p>
            <w:pPr>
              <w:rPr>
                <w:rFonts w:hint="eastAsia" w:ascii="宋体" w:hAnsi="宋体"/>
                <w:color w:val="000000"/>
                <w:lang w:eastAsia="zh-CN"/>
              </w:rPr>
            </w:pPr>
            <w:r>
              <w:rPr>
                <w:rFonts w:hint="eastAsia" w:ascii="宋体" w:hAnsi="宋体"/>
                <w:color w:val="000000"/>
                <w:lang w:eastAsia="zh-CN"/>
              </w:rPr>
              <w:t>（3）安装确认及文件（IQ）；</w:t>
            </w:r>
          </w:p>
          <w:p>
            <w:pPr>
              <w:rPr>
                <w:rFonts w:hint="eastAsia" w:ascii="宋体" w:hAnsi="宋体"/>
                <w:color w:val="000000"/>
                <w:lang w:eastAsia="zh-CN"/>
              </w:rPr>
            </w:pPr>
            <w:r>
              <w:rPr>
                <w:rFonts w:hint="eastAsia" w:ascii="宋体" w:hAnsi="宋体"/>
                <w:color w:val="000000"/>
                <w:lang w:eastAsia="zh-CN"/>
              </w:rPr>
              <w:t>（4）运行确认及文件（OQ）；</w:t>
            </w:r>
          </w:p>
          <w:p>
            <w:pPr>
              <w:jc w:val="both"/>
              <w:rPr>
                <w:szCs w:val="21"/>
                <w:lang w:eastAsia="zh-CN"/>
              </w:rPr>
            </w:pPr>
            <w:r>
              <w:rPr>
                <w:rFonts w:hint="eastAsia" w:ascii="宋体" w:hAnsi="宋体"/>
                <w:color w:val="000000"/>
                <w:lang w:eastAsia="zh-CN"/>
              </w:rPr>
              <w:t>（5）设备生产商负责制定设备验证计划、评估文件、IQ/OQ验证文件、验证总结报告，并负责验证工作的实施，该验证文件作为设备必备文件。</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jc w:val="both"/>
              <w:rPr>
                <w:szCs w:val="21"/>
                <w:lang w:eastAsia="zh-CN"/>
              </w:rPr>
            </w:pPr>
            <w:r>
              <w:rPr>
                <w:rFonts w:hint="eastAsia" w:ascii="宋体" w:hAnsi="宋体"/>
              </w:rPr>
              <w:t>设备交付计划表。</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jc w:val="both"/>
              <w:rPr>
                <w:szCs w:val="21"/>
                <w:lang w:eastAsia="zh-CN"/>
              </w:rPr>
            </w:pPr>
            <w:r>
              <w:rPr>
                <w:rFonts w:hint="eastAsia" w:ascii="宋体" w:hAnsi="宋体"/>
                <w:lang w:eastAsia="zh-CN"/>
              </w:rPr>
              <w:t>使用操作说明书及维护保养说明（即运行及维护手册）3份。</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jc w:val="both"/>
              <w:rPr>
                <w:szCs w:val="21"/>
                <w:lang w:eastAsia="zh-CN"/>
              </w:rPr>
            </w:pPr>
            <w:r>
              <w:rPr>
                <w:rFonts w:hint="eastAsia" w:ascii="宋体" w:hAnsi="宋体"/>
                <w:lang w:eastAsia="zh-CN"/>
              </w:rPr>
              <w:t>提供设备及其零部件使用寿命清单。</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jc w:val="both"/>
              <w:rPr>
                <w:szCs w:val="21"/>
                <w:lang w:eastAsia="zh-CN"/>
              </w:rPr>
            </w:pPr>
            <w:r>
              <w:rPr>
                <w:rFonts w:hint="eastAsia" w:ascii="宋体" w:hAnsi="宋体"/>
              </w:rPr>
              <w:t>现场验收报告。</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jc w:val="both"/>
              <w:rPr>
                <w:rFonts w:ascii="宋体" w:hAnsi="宋体"/>
              </w:rPr>
            </w:pPr>
            <w:r>
              <w:rPr>
                <w:rFonts w:hint="eastAsia" w:ascii="宋体" w:hAnsi="宋体"/>
              </w:rPr>
              <w:t>文件具体要求：</w:t>
            </w:r>
          </w:p>
          <w:p>
            <w:pPr>
              <w:jc w:val="both"/>
              <w:rPr>
                <w:rFonts w:hint="eastAsia" w:ascii="宋体" w:hAnsi="宋体"/>
                <w:lang w:eastAsia="zh-CN"/>
              </w:rPr>
            </w:pPr>
            <w:r>
              <w:rPr>
                <w:rFonts w:hint="eastAsia" w:ascii="宋体" w:hAnsi="宋体"/>
                <w:lang w:eastAsia="zh-CN"/>
              </w:rPr>
              <w:t>（1）系统相关方案中，应明确本系统的配置、规格，并且分析阐述每一个系统环节的必要性；</w:t>
            </w:r>
          </w:p>
          <w:p>
            <w:pPr>
              <w:jc w:val="both"/>
              <w:rPr>
                <w:szCs w:val="21"/>
                <w:lang w:eastAsia="zh-CN"/>
              </w:rPr>
            </w:pPr>
            <w:r>
              <w:rPr>
                <w:rFonts w:hint="eastAsia" w:ascii="宋体" w:hAnsi="宋体"/>
                <w:lang w:eastAsia="zh-CN"/>
              </w:rPr>
              <w:t>（2）标书中明确系统所有组件的品牌、材质、型号，并且注明每一个组件的保修期；</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jc w:val="both"/>
              <w:rPr>
                <w:szCs w:val="21"/>
                <w:lang w:eastAsia="zh-CN"/>
              </w:rPr>
            </w:pPr>
            <w:r>
              <w:rPr>
                <w:rFonts w:hint="eastAsia" w:ascii="宋体" w:hAnsi="宋体"/>
                <w:lang w:eastAsia="zh-CN"/>
              </w:rPr>
              <w:t>设备需具有CE、中国RoHS 2.0、ISO9001等证书</w:t>
            </w:r>
          </w:p>
        </w:tc>
        <w:tc>
          <w:tcPr>
            <w:tcW w:w="2125" w:type="dxa"/>
            <w:shd w:val="clear" w:color="auto" w:fill="auto"/>
            <w:vAlign w:val="center"/>
          </w:tcPr>
          <w:p>
            <w:pPr>
              <w:jc w:val="both"/>
              <w:rPr>
                <w:szCs w:val="21"/>
                <w:lang w:eastAsia="zh-CN"/>
              </w:rPr>
            </w:pPr>
            <w:r>
              <w:rPr>
                <w:rFonts w:hint="eastAsia" w:ascii="宋体" w:hAnsi="宋体"/>
              </w:rPr>
              <w:t>关键</w:t>
            </w:r>
          </w:p>
        </w:tc>
      </w:tr>
      <w:permEnd w:id="32"/>
    </w:tbl>
    <w:p>
      <w:pPr>
        <w:rPr>
          <w:szCs w:val="21"/>
          <w:lang w:eastAsia="zh-CN"/>
        </w:rPr>
      </w:pPr>
    </w:p>
    <w:p>
      <w:pPr>
        <w:pStyle w:val="31"/>
        <w:numPr>
          <w:ilvl w:val="0"/>
          <w:numId w:val="3"/>
        </w:numPr>
        <w:rPr>
          <w:rFonts w:hint="eastAsia"/>
          <w:color w:val="auto"/>
          <w:szCs w:val="22"/>
        </w:rPr>
      </w:pPr>
      <w:bookmarkStart w:id="45" w:name="_Toc522716125"/>
      <w:r>
        <w:t>服务要求</w:t>
      </w:r>
      <w:bookmarkEnd w:id="45"/>
      <w:permStart w:id="33" w:edGrp="everyone"/>
    </w:p>
    <w:permEnd w:id="33"/>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027"/>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2"/>
              </w:numPr>
            </w:pPr>
          </w:p>
        </w:tc>
        <w:tc>
          <w:tcPr>
            <w:tcW w:w="9253" w:type="dxa"/>
            <w:gridSpan w:val="2"/>
            <w:shd w:val="clear" w:color="auto" w:fill="D9D9D9"/>
            <w:vAlign w:val="center"/>
          </w:tcPr>
          <w:p>
            <w:pPr>
              <w:jc w:val="both"/>
              <w:rPr>
                <w:szCs w:val="21"/>
                <w:lang w:eastAsia="zh-CN"/>
              </w:rPr>
            </w:pPr>
            <w:r>
              <w:rPr>
                <w:szCs w:val="21"/>
                <w:lang w:eastAsia="zh-CN"/>
              </w:rPr>
              <w:t xml:space="preserve"> 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rFonts w:ascii="宋体" w:hAnsi="宋体"/>
                <w:lang w:eastAsia="zh-CN"/>
              </w:rPr>
            </w:pPr>
            <w:r>
              <w:rPr>
                <w:rFonts w:ascii="宋体" w:hAnsi="宋体"/>
                <w:lang w:eastAsia="zh-CN"/>
              </w:rPr>
              <w:t>设备供应商应免费对设备使用方人员进行全面培训，包括对生产操作人员及设备维护、维修人员，并填写培训记录。</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34" w:edGrp="everyone"/>
          </w:p>
        </w:tc>
        <w:tc>
          <w:tcPr>
            <w:tcW w:w="7128" w:type="dxa"/>
            <w:shd w:val="clear" w:color="auto" w:fill="auto"/>
            <w:vAlign w:val="center"/>
          </w:tcPr>
          <w:p>
            <w:pPr>
              <w:spacing w:line="276" w:lineRule="auto"/>
              <w:jc w:val="both"/>
              <w:rPr>
                <w:rFonts w:hint="eastAsia" w:ascii="宋体" w:hAnsi="宋体"/>
                <w:lang w:eastAsia="zh-CN"/>
              </w:rPr>
            </w:pPr>
            <w:r>
              <w:rPr>
                <w:rFonts w:hint="eastAsia" w:ascii="宋体" w:hAnsi="宋体"/>
                <w:lang w:eastAsia="zh-CN"/>
              </w:rPr>
              <w:t>供应商可提供冻干机操作软件模拟器，该模拟器可真实模拟冻干机的运行状态，以便教学培训使用；</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rFonts w:ascii="宋体" w:hAnsi="宋体"/>
                <w:lang w:eastAsia="zh-CN"/>
              </w:rPr>
            </w:pPr>
            <w:r>
              <w:rPr>
                <w:rFonts w:ascii="宋体" w:hAnsi="宋体"/>
                <w:lang w:eastAsia="zh-CN"/>
              </w:rPr>
              <w:t>生产操作人员培训包括设备结构原理、性能、操作、清洗消毒、故障排除等基本知识。合格标准为用户参加培训人员能够独立正确操作设备，会排除常见故障。</w:t>
            </w:r>
          </w:p>
        </w:tc>
        <w:tc>
          <w:tcPr>
            <w:tcW w:w="2125" w:type="dxa"/>
            <w:shd w:val="clear" w:color="auto" w:fill="auto"/>
            <w:vAlign w:val="center"/>
          </w:tcPr>
          <w:p>
            <w:pPr>
              <w:jc w:val="both"/>
              <w:rPr>
                <w:szCs w:val="21"/>
                <w:lang w:eastAsia="zh-CN"/>
              </w:rPr>
            </w:pPr>
            <w:r>
              <w:rPr>
                <w:rFonts w:hint="eastAsia" w:ascii="宋体" w:hAnsi="宋体"/>
              </w:rPr>
              <w:t>关键</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35" w:edGrp="everyone"/>
          </w:p>
        </w:tc>
        <w:tc>
          <w:tcPr>
            <w:tcW w:w="7128" w:type="dxa"/>
            <w:shd w:val="clear" w:color="auto" w:fill="auto"/>
            <w:vAlign w:val="center"/>
          </w:tcPr>
          <w:p>
            <w:pPr>
              <w:spacing w:line="276" w:lineRule="auto"/>
              <w:jc w:val="both"/>
              <w:rPr>
                <w:rFonts w:ascii="宋体" w:hAnsi="宋体"/>
                <w:lang w:eastAsia="zh-CN"/>
              </w:rPr>
            </w:pPr>
            <w:r>
              <w:rPr>
                <w:rFonts w:ascii="宋体" w:hAnsi="宋体"/>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shd w:val="clear" w:color="auto" w:fill="auto"/>
            <w:vAlign w:val="center"/>
          </w:tcPr>
          <w:p>
            <w:pPr>
              <w:jc w:val="both"/>
              <w:rPr>
                <w:szCs w:val="21"/>
                <w:lang w:eastAsia="zh-CN"/>
              </w:rPr>
            </w:pPr>
            <w:r>
              <w:rPr>
                <w:rFonts w:hint="eastAsia" w:ascii="宋体" w:hAnsi="宋体"/>
              </w:rPr>
              <w:t>关键</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2"/>
              </w:numPr>
            </w:pPr>
          </w:p>
        </w:tc>
        <w:tc>
          <w:tcPr>
            <w:tcW w:w="9253"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36" w:edGrp="everyone"/>
          </w:p>
        </w:tc>
        <w:tc>
          <w:tcPr>
            <w:tcW w:w="7128" w:type="dxa"/>
            <w:shd w:val="clear" w:color="auto" w:fill="auto"/>
            <w:vAlign w:val="center"/>
          </w:tcPr>
          <w:p>
            <w:pPr>
              <w:spacing w:line="276" w:lineRule="auto"/>
              <w:jc w:val="both"/>
              <w:rPr>
                <w:rFonts w:ascii="宋体" w:hAnsi="宋体"/>
                <w:color w:val="000000"/>
                <w:lang w:eastAsia="zh-CN"/>
              </w:rPr>
            </w:pPr>
            <w:r>
              <w:rPr>
                <w:rFonts w:ascii="宋体" w:hAnsi="宋体"/>
                <w:color w:val="000000"/>
                <w:lang w:eastAsia="zh-CN"/>
              </w:rPr>
              <w:t>设备运输在运输途中需做好防护措施，不得有任何损伤。</w:t>
            </w:r>
          </w:p>
        </w:tc>
        <w:tc>
          <w:tcPr>
            <w:tcW w:w="2125" w:type="dxa"/>
            <w:shd w:val="clear" w:color="auto" w:fill="auto"/>
            <w:vAlign w:val="center"/>
          </w:tcPr>
          <w:p>
            <w:pPr>
              <w:jc w:val="both"/>
              <w:rPr>
                <w:szCs w:val="21"/>
                <w:lang w:eastAsia="zh-CN"/>
              </w:rPr>
            </w:pPr>
            <w:r>
              <w:rPr>
                <w:rFonts w:hint="eastAsia" w:ascii="宋体" w:hAnsi="宋体"/>
              </w:rPr>
              <w:t>关键</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2"/>
              </w:numPr>
            </w:pPr>
          </w:p>
        </w:tc>
        <w:tc>
          <w:tcPr>
            <w:tcW w:w="9253"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37" w:edGrp="everyone"/>
          </w:p>
        </w:tc>
        <w:tc>
          <w:tcPr>
            <w:tcW w:w="7128" w:type="dxa"/>
            <w:shd w:val="clear" w:color="auto" w:fill="auto"/>
            <w:vAlign w:val="center"/>
          </w:tcPr>
          <w:p>
            <w:pPr>
              <w:spacing w:line="276" w:lineRule="auto"/>
              <w:jc w:val="both"/>
              <w:rPr>
                <w:i/>
                <w:szCs w:val="21"/>
                <w:lang w:eastAsia="zh-CN"/>
              </w:rPr>
            </w:pPr>
            <w:r>
              <w:rPr>
                <w:rFonts w:hint="eastAsia" w:ascii="宋体" w:hAnsi="宋体"/>
                <w:color w:val="000000"/>
                <w:lang w:eastAsia="zh-CN"/>
              </w:rPr>
              <w:t>验证包括但不限于验证计划、SAT、IQ、OQ文件与服务，供应商必须派出具备该类系统验证经验，且熟悉验证相关文件编写及验证工作实施的验证工程师开展验证工作。</w:t>
            </w:r>
            <w:r>
              <w:rPr>
                <w:rFonts w:hint="eastAsia" w:ascii="宋体" w:hAnsi="宋体"/>
                <w:color w:val="000000"/>
              </w:rPr>
              <w:t>供应商协助完成PQ。</w:t>
            </w:r>
          </w:p>
        </w:tc>
        <w:tc>
          <w:tcPr>
            <w:tcW w:w="2125" w:type="dxa"/>
            <w:shd w:val="clear" w:color="auto" w:fill="auto"/>
            <w:vAlign w:val="center"/>
          </w:tcPr>
          <w:p>
            <w:pPr>
              <w:jc w:val="both"/>
              <w:rPr>
                <w:szCs w:val="21"/>
                <w:lang w:eastAsia="zh-CN"/>
              </w:rPr>
            </w:pPr>
            <w:r>
              <w:rPr>
                <w:rFonts w:hint="eastAsia" w:ascii="宋体" w:hAnsi="宋体"/>
              </w:rPr>
              <w:t>关键</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38" w:edGrp="everyone"/>
          </w:p>
        </w:tc>
        <w:tc>
          <w:tcPr>
            <w:tcW w:w="7128" w:type="dxa"/>
            <w:shd w:val="clear" w:color="auto" w:fill="auto"/>
            <w:vAlign w:val="center"/>
          </w:tcPr>
          <w:p>
            <w:pPr>
              <w:spacing w:line="276" w:lineRule="auto"/>
              <w:jc w:val="both"/>
              <w:rPr>
                <w:szCs w:val="21"/>
                <w:lang w:eastAsia="zh-CN"/>
              </w:rPr>
            </w:pPr>
            <w:r>
              <w:rPr>
                <w:rFonts w:hint="eastAsia" w:ascii="宋体" w:hAnsi="宋体"/>
                <w:color w:val="000000"/>
                <w:lang w:eastAsia="zh-CN"/>
              </w:rPr>
              <w:t>投标方按GMP规范及GAMP5要求完成上述所有验证工作，各验证工作开始前验证方案需经过本公司相关部门审核，并经质量保证部批准。</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lang w:eastAsia="zh-CN"/>
              </w:rPr>
              <w:t>验证工作应按时保质完成，供应商需提供验证工作计划表。</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lang w:eastAsia="zh-CN"/>
              </w:rPr>
              <w:t>验证项目应包含法规要求的测试项目，以及本公司提出的测试项目。</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lang w:eastAsia="zh-CN"/>
              </w:rPr>
              <w:t>验证工作完成后，验证记录经本公司相关部门审核，并经质量保证部批准。</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lang w:eastAsia="zh-CN"/>
              </w:rPr>
              <w:t>验收前，验证工作已成功完成，验证最终报告已经本公司相关部门审核，并经质量保证部批准。</w:t>
            </w:r>
          </w:p>
        </w:tc>
        <w:tc>
          <w:tcPr>
            <w:tcW w:w="2125" w:type="dxa"/>
            <w:shd w:val="clear" w:color="auto" w:fill="auto"/>
            <w:vAlign w:val="center"/>
          </w:tcPr>
          <w:p>
            <w:pPr>
              <w:jc w:val="both"/>
              <w:rPr>
                <w:szCs w:val="21"/>
                <w:lang w:eastAsia="zh-CN"/>
              </w:rPr>
            </w:pPr>
            <w:r>
              <w:rPr>
                <w:rFonts w:hint="eastAsia" w:ascii="宋体" w:hAnsi="宋体"/>
              </w:rPr>
              <w:t>关键</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2"/>
              </w:numPr>
            </w:pPr>
          </w:p>
        </w:tc>
        <w:tc>
          <w:tcPr>
            <w:tcW w:w="9253"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39" w:edGrp="everyone"/>
          </w:p>
        </w:tc>
        <w:tc>
          <w:tcPr>
            <w:tcW w:w="7128" w:type="dxa"/>
            <w:shd w:val="clear" w:color="auto" w:fill="auto"/>
            <w:vAlign w:val="center"/>
          </w:tcPr>
          <w:p>
            <w:pPr>
              <w:spacing w:line="276" w:lineRule="auto"/>
              <w:jc w:val="both"/>
              <w:rPr>
                <w:szCs w:val="21"/>
                <w:lang w:eastAsia="zh-CN"/>
              </w:rPr>
            </w:pPr>
            <w:r>
              <w:rPr>
                <w:rFonts w:hint="eastAsia" w:ascii="宋体" w:hAnsi="宋体"/>
                <w:lang w:eastAsia="zh-CN"/>
              </w:rPr>
              <w:t>设备保质期从确认验收的阶段就开始计算。</w:t>
            </w:r>
            <w:r>
              <w:rPr>
                <w:rFonts w:hint="eastAsia" w:ascii="宋体" w:hAnsi="宋体"/>
              </w:rPr>
              <w:t>维护维保周期。</w:t>
            </w:r>
          </w:p>
        </w:tc>
        <w:tc>
          <w:tcPr>
            <w:tcW w:w="2125" w:type="dxa"/>
            <w:shd w:val="clear" w:color="auto" w:fill="auto"/>
            <w:vAlign w:val="center"/>
          </w:tcPr>
          <w:p>
            <w:pPr>
              <w:jc w:val="both"/>
              <w:rPr>
                <w:szCs w:val="21"/>
                <w:lang w:eastAsia="zh-CN"/>
              </w:rPr>
            </w:pPr>
            <w:r>
              <w:rPr>
                <w:rFonts w:hint="eastAsia" w:ascii="宋体" w:hAnsi="宋体"/>
              </w:rPr>
              <w:t>关键</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40" w:edGrp="everyone"/>
          </w:p>
        </w:tc>
        <w:tc>
          <w:tcPr>
            <w:tcW w:w="7128" w:type="dxa"/>
            <w:shd w:val="clear" w:color="auto" w:fill="auto"/>
            <w:vAlign w:val="center"/>
          </w:tcPr>
          <w:p>
            <w:pPr>
              <w:spacing w:line="276" w:lineRule="auto"/>
              <w:jc w:val="both"/>
              <w:rPr>
                <w:szCs w:val="21"/>
                <w:lang w:eastAsia="zh-CN"/>
              </w:rPr>
            </w:pPr>
            <w:r>
              <w:rPr>
                <w:rFonts w:hint="eastAsia" w:ascii="宋体" w:hAnsi="宋体"/>
                <w:lang w:eastAsia="zh-CN"/>
              </w:rPr>
              <w:t>设备质保期为一年，一年内免费保修，一年后应提供良好的售后服务。</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lang w:eastAsia="zh-CN"/>
              </w:rPr>
              <w:t>售后服务必须响应及时，要求设备出现须厂家维修的故障后，应在</w:t>
            </w:r>
            <w:r>
              <w:rPr>
                <w:rFonts w:hint="eastAsia"/>
                <w:lang w:eastAsia="zh-CN"/>
              </w:rPr>
              <w:t>4</w:t>
            </w:r>
            <w:r>
              <w:rPr>
                <w:rFonts w:hint="eastAsia" w:ascii="宋体" w:hAnsi="宋体"/>
                <w:lang w:eastAsia="zh-CN"/>
              </w:rPr>
              <w:t>小时内明确答复，当电话沟通无法解决时，须</w:t>
            </w:r>
            <w:r>
              <w:rPr>
                <w:rFonts w:hint="eastAsia"/>
                <w:lang w:eastAsia="zh-CN"/>
              </w:rPr>
              <w:t>24</w:t>
            </w:r>
            <w:r>
              <w:rPr>
                <w:rFonts w:hint="eastAsia" w:ascii="宋体" w:hAnsi="宋体"/>
                <w:lang w:eastAsia="zh-CN"/>
              </w:rPr>
              <w:t>小时内派人至现场解决。</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lang w:eastAsia="zh-CN"/>
              </w:rPr>
              <w:t>冻干机生产商需具备</w:t>
            </w:r>
            <w:r>
              <w:rPr>
                <w:rFonts w:hint="eastAsia"/>
                <w:lang w:eastAsia="zh-CN"/>
              </w:rPr>
              <w:t>20</w:t>
            </w:r>
            <w:r>
              <w:rPr>
                <w:rFonts w:hint="eastAsia" w:ascii="宋体" w:hAnsi="宋体"/>
                <w:lang w:eastAsia="zh-CN"/>
              </w:rPr>
              <w:t>年及以上冻干机生产经验和资质，保证十五年内能采购到所供货物的相关配件，并保证不高于市场价格</w:t>
            </w:r>
          </w:p>
        </w:tc>
        <w:tc>
          <w:tcPr>
            <w:tcW w:w="2125" w:type="dxa"/>
            <w:shd w:val="clear" w:color="auto" w:fill="auto"/>
            <w:vAlign w:val="center"/>
          </w:tcPr>
          <w:p>
            <w:pPr>
              <w:jc w:val="both"/>
              <w:rPr>
                <w:szCs w:val="21"/>
                <w:lang w:eastAsia="zh-CN"/>
              </w:rPr>
            </w:pPr>
            <w:r>
              <w:rPr>
                <w:rFonts w:hint="eastAsia" w:ascii="宋体" w:hAnsi="宋体"/>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lang w:eastAsia="zh-CN"/>
              </w:rPr>
              <w:t>一年免费保修期后，厂家应终生提供及时的维修、维护，厂家应定期回访，解决设备运行当中可能出现的疑问，排除潜在故障，使设备保持良好工作状态。</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lang w:eastAsia="zh-CN"/>
              </w:rPr>
              <w:t>售后服务人员应有生产厂家出具的资质证书</w:t>
            </w:r>
          </w:p>
        </w:tc>
        <w:tc>
          <w:tcPr>
            <w:tcW w:w="2125" w:type="dxa"/>
            <w:shd w:val="clear" w:color="auto" w:fill="auto"/>
            <w:vAlign w:val="center"/>
          </w:tcPr>
          <w:p>
            <w:pPr>
              <w:jc w:val="both"/>
              <w:rPr>
                <w:szCs w:val="21"/>
                <w:lang w:eastAsia="zh-CN"/>
              </w:rPr>
            </w:pPr>
            <w:r>
              <w:rPr>
                <w:rFonts w:hint="eastAsia" w:ascii="宋体" w:hAnsi="宋体"/>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lang w:eastAsia="zh-CN"/>
              </w:rPr>
              <w:t>厂家应提供合格的备件，用于设备相应部件的维修、更换。</w:t>
            </w:r>
          </w:p>
        </w:tc>
        <w:tc>
          <w:tcPr>
            <w:tcW w:w="2125" w:type="dxa"/>
            <w:shd w:val="clear" w:color="auto" w:fill="auto"/>
            <w:vAlign w:val="center"/>
          </w:tcPr>
          <w:p>
            <w:pPr>
              <w:jc w:val="both"/>
              <w:rPr>
                <w:szCs w:val="21"/>
                <w:lang w:eastAsia="zh-CN"/>
              </w:rPr>
            </w:pPr>
            <w:r>
              <w:rPr>
                <w:rFonts w:hint="eastAsia" w:ascii="宋体" w:hAnsi="宋体"/>
              </w:rPr>
              <w:t>关键</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2"/>
              </w:numPr>
            </w:pPr>
          </w:p>
        </w:tc>
        <w:tc>
          <w:tcPr>
            <w:tcW w:w="9253"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41" w:edGrp="everyone"/>
          </w:p>
        </w:tc>
        <w:tc>
          <w:tcPr>
            <w:tcW w:w="7128" w:type="dxa"/>
            <w:shd w:val="clear" w:color="auto" w:fill="auto"/>
            <w:vAlign w:val="center"/>
          </w:tcPr>
          <w:p>
            <w:pPr>
              <w:spacing w:line="276" w:lineRule="auto"/>
              <w:jc w:val="both"/>
              <w:rPr>
                <w:szCs w:val="21"/>
                <w:lang w:eastAsia="zh-CN"/>
              </w:rPr>
            </w:pPr>
            <w:r>
              <w:rPr>
                <w:rFonts w:hint="eastAsia" w:ascii="宋体" w:hAnsi="宋体"/>
                <w:lang w:eastAsia="zh-CN"/>
              </w:rPr>
              <w:t>货物到达买方使用现场后，由买卖双方共同验收，卖方工程师免费为买方提供调试。</w:t>
            </w:r>
          </w:p>
        </w:tc>
        <w:tc>
          <w:tcPr>
            <w:tcW w:w="2125" w:type="dxa"/>
            <w:shd w:val="clear" w:color="auto" w:fill="auto"/>
            <w:vAlign w:val="center"/>
          </w:tcPr>
          <w:p>
            <w:pPr>
              <w:jc w:val="both"/>
              <w:rPr>
                <w:szCs w:val="21"/>
                <w:lang w:eastAsia="zh-CN"/>
              </w:rPr>
            </w:pPr>
            <w:r>
              <w:rPr>
                <w:rFonts w:hint="eastAsia" w:ascii="宋体" w:hAnsi="宋体"/>
              </w:rPr>
              <w:t>关键</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ermStart w:id="42" w:edGrp="everyone"/>
          </w:p>
        </w:tc>
        <w:tc>
          <w:tcPr>
            <w:tcW w:w="7128" w:type="dxa"/>
            <w:shd w:val="clear" w:color="auto" w:fill="auto"/>
            <w:vAlign w:val="center"/>
          </w:tcPr>
          <w:p>
            <w:pPr>
              <w:spacing w:line="276" w:lineRule="auto"/>
              <w:jc w:val="both"/>
              <w:rPr>
                <w:szCs w:val="21"/>
                <w:lang w:eastAsia="zh-CN"/>
              </w:rPr>
            </w:pPr>
            <w:r>
              <w:rPr>
                <w:rFonts w:hint="eastAsia" w:ascii="宋体" w:hAnsi="宋体"/>
                <w:lang w:eastAsia="zh-CN"/>
              </w:rPr>
              <w:t>供应商进厂安装需遵守安全和施工规定。</w:t>
            </w:r>
          </w:p>
        </w:tc>
        <w:tc>
          <w:tcPr>
            <w:tcW w:w="2125" w:type="dxa"/>
            <w:shd w:val="clear" w:color="auto" w:fill="auto"/>
            <w:vAlign w:val="center"/>
          </w:tcPr>
          <w:p>
            <w:pPr>
              <w:jc w:val="both"/>
              <w:rPr>
                <w:szCs w:val="21"/>
                <w:lang w:eastAsia="zh-CN"/>
              </w:rPr>
            </w:pPr>
            <w:r>
              <w:rPr>
                <w:rFonts w:hint="eastAsia" w:ascii="宋体" w:hAnsi="宋体"/>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pPr>
          </w:p>
        </w:tc>
        <w:tc>
          <w:tcPr>
            <w:tcW w:w="7128" w:type="dxa"/>
            <w:shd w:val="clear" w:color="auto" w:fill="auto"/>
            <w:vAlign w:val="center"/>
          </w:tcPr>
          <w:p>
            <w:pPr>
              <w:spacing w:line="276" w:lineRule="auto"/>
              <w:jc w:val="both"/>
              <w:rPr>
                <w:szCs w:val="21"/>
                <w:lang w:eastAsia="zh-CN"/>
              </w:rPr>
            </w:pPr>
            <w:r>
              <w:rPr>
                <w:rFonts w:hint="eastAsia" w:ascii="宋体" w:hAnsi="宋体"/>
                <w:lang w:eastAsia="zh-CN"/>
              </w:rPr>
              <w:t>确认试车验收合格后，买卖双方签订验收报告。</w:t>
            </w:r>
          </w:p>
        </w:tc>
        <w:tc>
          <w:tcPr>
            <w:tcW w:w="2125" w:type="dxa"/>
            <w:shd w:val="clear" w:color="auto" w:fill="auto"/>
            <w:vAlign w:val="center"/>
          </w:tcPr>
          <w:p>
            <w:pPr>
              <w:jc w:val="both"/>
              <w:rPr>
                <w:szCs w:val="21"/>
                <w:lang w:eastAsia="zh-CN"/>
              </w:rPr>
            </w:pPr>
            <w:r>
              <w:rPr>
                <w:rFonts w:hint="eastAsia" w:ascii="宋体" w:hAnsi="宋体"/>
              </w:rPr>
              <w:t>关键</w:t>
            </w:r>
          </w:p>
        </w:tc>
      </w:tr>
      <w:permEnd w:id="42"/>
    </w:tbl>
    <w:p/>
    <w:p>
      <w:pPr>
        <w:pStyle w:val="31"/>
        <w:numPr>
          <w:ilvl w:val="0"/>
          <w:numId w:val="3"/>
        </w:numPr>
      </w:pPr>
      <w:bookmarkStart w:id="46" w:name="_Toc522107746"/>
      <w:bookmarkStart w:id="47" w:name="_Toc522716126"/>
      <w:r>
        <w:t>附件</w:t>
      </w:r>
      <w:bookmarkEnd w:id="46"/>
      <w:bookmarkEnd w:id="47"/>
    </w:p>
    <w:bookmarkEnd w:id="30"/>
    <w:bookmarkEnd w:id="31"/>
    <w:bookmarkEnd w:id="32"/>
    <w:bookmarkEnd w:id="33"/>
    <w:bookmarkEnd w:id="34"/>
    <w:bookmarkEnd w:id="35"/>
    <w:bookmarkEnd w:id="36"/>
    <w:bookmarkEnd w:id="37"/>
    <w:bookmarkEnd w:id="38"/>
    <w:bookmarkEnd w:id="39"/>
    <w:bookmarkEnd w:id="40"/>
    <w:bookmarkEnd w:id="41"/>
    <w:p>
      <w:pPr>
        <w:pStyle w:val="41"/>
        <w:spacing w:before="0" w:line="360" w:lineRule="auto"/>
        <w:ind w:left="425"/>
        <w:jc w:val="left"/>
        <w:rPr>
          <w:color w:val="000000"/>
          <w:sz w:val="24"/>
          <w:lang w:eastAsia="zh-CN"/>
        </w:rPr>
      </w:pPr>
      <w:permStart w:id="43" w:edGrp="everyone"/>
      <w:r>
        <w:rPr>
          <w:rFonts w:hint="eastAsia" w:ascii="宋体" w:hAnsi="宋体"/>
          <w:color w:val="000000"/>
        </w:rPr>
        <w:t>不适用</w:t>
      </w:r>
      <w:permEnd w:id="43"/>
    </w:p>
    <w:p>
      <w:pPr>
        <w:pStyle w:val="41"/>
        <w:spacing w:before="0" w:line="360" w:lineRule="auto"/>
        <w:ind w:left="357"/>
        <w:jc w:val="left"/>
        <w:rPr>
          <w:color w:val="4472C4"/>
          <w:szCs w:val="21"/>
          <w:lang w:eastAsia="zh-CN"/>
        </w:rPr>
      </w:pPr>
    </w:p>
    <w:sectPr>
      <w:footerReference r:id="rId3" w:type="default"/>
      <w:pgSz w:w="11907" w:h="16840"/>
      <w:pgMar w:top="1134" w:right="850" w:bottom="1134" w:left="850"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356"/>
        <w:tab w:val="clear" w:pos="8640"/>
      </w:tabs>
      <w:ind w:right="-285"/>
      <w:rPr>
        <w:sz w:val="18"/>
        <w:szCs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2689A"/>
    <w:multiLevelType w:val="multilevel"/>
    <w:tmpl w:val="0892689A"/>
    <w:lvl w:ilvl="0" w:tentative="0">
      <w:start w:val="1"/>
      <w:numFmt w:val="decimal"/>
      <w:lvlText w:val="6.%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FC583D"/>
    <w:multiLevelType w:val="multilevel"/>
    <w:tmpl w:val="08FC583D"/>
    <w:lvl w:ilvl="0" w:tentative="0">
      <w:start w:val="1"/>
      <w:numFmt w:val="decimal"/>
      <w:pStyle w:val="2"/>
      <w:lvlText w:val="%1."/>
      <w:lvlJc w:val="left"/>
      <w:pPr>
        <w:tabs>
          <w:tab w:val="left" w:pos="425"/>
        </w:tabs>
        <w:ind w:left="425" w:hanging="425"/>
      </w:pPr>
      <w:rPr>
        <w:rFonts w:hint="default"/>
        <w:sz w:val="22"/>
      </w:rPr>
    </w:lvl>
    <w:lvl w:ilvl="1" w:tentative="0">
      <w:start w:val="1"/>
      <w:numFmt w:val="decimal"/>
      <w:lvlText w:val="%1.%2."/>
      <w:lvlJc w:val="left"/>
      <w:pPr>
        <w:tabs>
          <w:tab w:val="left" w:pos="567"/>
        </w:tabs>
        <w:ind w:left="567" w:hanging="567"/>
      </w:pPr>
      <w:rPr>
        <w:rFonts w:hint="default"/>
        <w:sz w:val="22"/>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
    <w:nsid w:val="0BB07E03"/>
    <w:multiLevelType w:val="multilevel"/>
    <w:tmpl w:val="0BB07E03"/>
    <w:lvl w:ilvl="0" w:tentative="0">
      <w:start w:val="1"/>
      <w:numFmt w:val="decimal"/>
      <w:lvlText w:val="9.%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273409"/>
    <w:multiLevelType w:val="multilevel"/>
    <w:tmpl w:val="11273409"/>
    <w:lvl w:ilvl="0" w:tentative="0">
      <w:start w:val="1"/>
      <w:numFmt w:val="decimal"/>
      <w:lvlText w:val="7.%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D341CC"/>
    <w:multiLevelType w:val="multilevel"/>
    <w:tmpl w:val="16D341CC"/>
    <w:lvl w:ilvl="0" w:tentative="0">
      <w:start w:val="1"/>
      <w:numFmt w:val="decimal"/>
      <w:lvlText w:val="URS %1"/>
      <w:lvlJc w:val="left"/>
      <w:pPr>
        <w:ind w:left="845"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1E85127E"/>
    <w:multiLevelType w:val="multilevel"/>
    <w:tmpl w:val="1E85127E"/>
    <w:lvl w:ilvl="0" w:tentative="0">
      <w:start w:val="1"/>
      <w:numFmt w:val="bullet"/>
      <w:lvlText w:val=""/>
      <w:lvlJc w:val="left"/>
      <w:pPr>
        <w:ind w:left="988" w:hanging="420"/>
      </w:pPr>
      <w:rPr>
        <w:rFonts w:hint="default" w:ascii="Wingdings" w:hAnsi="Wingdings"/>
        <w:color w:val="00000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20312F30"/>
    <w:multiLevelType w:val="multilevel"/>
    <w:tmpl w:val="20312F30"/>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3693724"/>
    <w:multiLevelType w:val="multilevel"/>
    <w:tmpl w:val="2369372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2768E53C"/>
    <w:multiLevelType w:val="multilevel"/>
    <w:tmpl w:val="2768E53C"/>
    <w:lvl w:ilvl="0" w:tentative="0">
      <w:start w:val="1"/>
      <w:numFmt w:val="decimal"/>
      <w:lvlText w:val="11.%1"/>
      <w:lvlJc w:val="left"/>
      <w:pPr>
        <w:ind w:left="846"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20B1F6D"/>
    <w:multiLevelType w:val="multilevel"/>
    <w:tmpl w:val="320B1F6D"/>
    <w:lvl w:ilvl="0" w:tentative="0">
      <w:start w:val="1"/>
      <w:numFmt w:val="decimal"/>
      <w:lvlText w:val="8.%1"/>
      <w:lvlJc w:val="left"/>
      <w:pPr>
        <w:ind w:left="777" w:hanging="420"/>
      </w:pPr>
      <w:rPr>
        <w:rFonts w:hint="eastAsia"/>
      </w:rPr>
    </w:lvl>
    <w:lvl w:ilvl="1" w:tentative="0">
      <w:start w:val="1"/>
      <w:numFmt w:val="lowerLetter"/>
      <w:lvlText w:val="%2)"/>
      <w:lvlJc w:val="left"/>
      <w:pPr>
        <w:ind w:left="840" w:hanging="420"/>
      </w:pPr>
    </w:lvl>
    <w:lvl w:ilvl="2" w:tentative="0">
      <w:start w:val="1"/>
      <w:numFmt w:val="decimal"/>
      <w:lvlText w:val="8.%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29402F4"/>
    <w:multiLevelType w:val="multilevel"/>
    <w:tmpl w:val="629402F4"/>
    <w:lvl w:ilvl="0" w:tentative="0">
      <w:start w:val="1"/>
      <w:numFmt w:val="decimal"/>
      <w:lvlText w:val="3.%1"/>
      <w:lvlJc w:val="left"/>
      <w:pPr>
        <w:ind w:left="77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86546ED"/>
    <w:multiLevelType w:val="multilevel"/>
    <w:tmpl w:val="686546ED"/>
    <w:lvl w:ilvl="0" w:tentative="0">
      <w:start w:val="1"/>
      <w:numFmt w:val="decimal"/>
      <w:pStyle w:val="37"/>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11"/>
  </w:num>
  <w:num w:numId="3">
    <w:abstractNumId w:val="7"/>
  </w:num>
  <w:num w:numId="4">
    <w:abstractNumId w:val="10"/>
  </w:num>
  <w:num w:numId="5">
    <w:abstractNumId w:val="5"/>
  </w:num>
  <w:num w:numId="6">
    <w:abstractNumId w:val="0"/>
  </w:num>
  <w:num w:numId="7">
    <w:abstractNumId w:val="4"/>
  </w:num>
  <w:num w:numId="8">
    <w:abstractNumId w:val="3"/>
  </w:num>
  <w:num w:numId="9">
    <w:abstractNumId w:val="9"/>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formatting="1" w:enforcement="0"/>
  <w:defaultTabStop w:val="720"/>
  <w:drawingGridHorizontalSpacing w:val="120"/>
  <w:drawingGridVerticalSpacing w:val="158"/>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0MmYxYjE0NGI3MTYyYjE3MTBhYjYxYzVhOWEzNWUifQ=="/>
  </w:docVars>
  <w:rsids>
    <w:rsidRoot w:val="00391016"/>
    <w:rsid w:val="00001AE0"/>
    <w:rsid w:val="000021A6"/>
    <w:rsid w:val="00002F06"/>
    <w:rsid w:val="000038A4"/>
    <w:rsid w:val="0000520B"/>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E1"/>
    <w:rsid w:val="000818AC"/>
    <w:rsid w:val="00082C13"/>
    <w:rsid w:val="00083D58"/>
    <w:rsid w:val="000844A8"/>
    <w:rsid w:val="00084F90"/>
    <w:rsid w:val="00086CA0"/>
    <w:rsid w:val="00087002"/>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F4C"/>
    <w:rsid w:val="00134C68"/>
    <w:rsid w:val="00135FD6"/>
    <w:rsid w:val="001374CF"/>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3F91"/>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5088"/>
    <w:rsid w:val="00253242"/>
    <w:rsid w:val="002547BF"/>
    <w:rsid w:val="002548CA"/>
    <w:rsid w:val="0025531B"/>
    <w:rsid w:val="002560F9"/>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741F"/>
    <w:rsid w:val="00297DDC"/>
    <w:rsid w:val="002A18C8"/>
    <w:rsid w:val="002A42F8"/>
    <w:rsid w:val="002A547B"/>
    <w:rsid w:val="002A588E"/>
    <w:rsid w:val="002A7980"/>
    <w:rsid w:val="002B0A7C"/>
    <w:rsid w:val="002B14F3"/>
    <w:rsid w:val="002B2E52"/>
    <w:rsid w:val="002B480A"/>
    <w:rsid w:val="002B67A2"/>
    <w:rsid w:val="002B6854"/>
    <w:rsid w:val="002C1817"/>
    <w:rsid w:val="002C1DAB"/>
    <w:rsid w:val="002C4FCF"/>
    <w:rsid w:val="002C527C"/>
    <w:rsid w:val="002C5AC7"/>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392"/>
    <w:rsid w:val="002F4641"/>
    <w:rsid w:val="002F4B22"/>
    <w:rsid w:val="00302176"/>
    <w:rsid w:val="00302AF8"/>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647CA"/>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F3F47"/>
    <w:rsid w:val="003F6E0C"/>
    <w:rsid w:val="004003A8"/>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2568"/>
    <w:rsid w:val="00436C7C"/>
    <w:rsid w:val="00437440"/>
    <w:rsid w:val="00440378"/>
    <w:rsid w:val="00442B53"/>
    <w:rsid w:val="00443256"/>
    <w:rsid w:val="00444D2D"/>
    <w:rsid w:val="004510B1"/>
    <w:rsid w:val="00451C5D"/>
    <w:rsid w:val="00451D74"/>
    <w:rsid w:val="00452E73"/>
    <w:rsid w:val="004565EF"/>
    <w:rsid w:val="00457FF9"/>
    <w:rsid w:val="004601ED"/>
    <w:rsid w:val="00460711"/>
    <w:rsid w:val="0046108B"/>
    <w:rsid w:val="00467AE6"/>
    <w:rsid w:val="00467EC9"/>
    <w:rsid w:val="00477791"/>
    <w:rsid w:val="00480286"/>
    <w:rsid w:val="00480C3B"/>
    <w:rsid w:val="00480FE3"/>
    <w:rsid w:val="00481C94"/>
    <w:rsid w:val="00484A8D"/>
    <w:rsid w:val="00486A4E"/>
    <w:rsid w:val="00486B09"/>
    <w:rsid w:val="0049139F"/>
    <w:rsid w:val="00494F07"/>
    <w:rsid w:val="00496116"/>
    <w:rsid w:val="004965A0"/>
    <w:rsid w:val="00497335"/>
    <w:rsid w:val="004A05A7"/>
    <w:rsid w:val="004A3F98"/>
    <w:rsid w:val="004A5532"/>
    <w:rsid w:val="004A5958"/>
    <w:rsid w:val="004A76DF"/>
    <w:rsid w:val="004B0A75"/>
    <w:rsid w:val="004B219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67B1"/>
    <w:rsid w:val="004D7128"/>
    <w:rsid w:val="004D751D"/>
    <w:rsid w:val="004E05C2"/>
    <w:rsid w:val="004E0B02"/>
    <w:rsid w:val="004E0C0D"/>
    <w:rsid w:val="004E255F"/>
    <w:rsid w:val="004E4C2D"/>
    <w:rsid w:val="004F0539"/>
    <w:rsid w:val="004F10A4"/>
    <w:rsid w:val="004F342E"/>
    <w:rsid w:val="004F4C63"/>
    <w:rsid w:val="004F5AE6"/>
    <w:rsid w:val="004F5C19"/>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6090D"/>
    <w:rsid w:val="00561E9C"/>
    <w:rsid w:val="00565C7A"/>
    <w:rsid w:val="00567E14"/>
    <w:rsid w:val="005705A7"/>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2393"/>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E2725"/>
    <w:rsid w:val="005E65FA"/>
    <w:rsid w:val="005F19CE"/>
    <w:rsid w:val="005F28F4"/>
    <w:rsid w:val="005F43BB"/>
    <w:rsid w:val="005F503E"/>
    <w:rsid w:val="005F6CB3"/>
    <w:rsid w:val="005F7612"/>
    <w:rsid w:val="005F7663"/>
    <w:rsid w:val="005F7D63"/>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533C"/>
    <w:rsid w:val="006366CC"/>
    <w:rsid w:val="00637C16"/>
    <w:rsid w:val="0064048E"/>
    <w:rsid w:val="00641320"/>
    <w:rsid w:val="00641E74"/>
    <w:rsid w:val="006426EF"/>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EB3"/>
    <w:rsid w:val="00680BE8"/>
    <w:rsid w:val="00686409"/>
    <w:rsid w:val="00686D19"/>
    <w:rsid w:val="0068777F"/>
    <w:rsid w:val="00693018"/>
    <w:rsid w:val="006A0059"/>
    <w:rsid w:val="006A7425"/>
    <w:rsid w:val="006B058A"/>
    <w:rsid w:val="006B1299"/>
    <w:rsid w:val="006B26D9"/>
    <w:rsid w:val="006B310C"/>
    <w:rsid w:val="006B664C"/>
    <w:rsid w:val="006C1125"/>
    <w:rsid w:val="006C1C83"/>
    <w:rsid w:val="006C3E78"/>
    <w:rsid w:val="006C54E6"/>
    <w:rsid w:val="006C5762"/>
    <w:rsid w:val="006C690D"/>
    <w:rsid w:val="006D149F"/>
    <w:rsid w:val="006D3396"/>
    <w:rsid w:val="006D5AFF"/>
    <w:rsid w:val="006E050C"/>
    <w:rsid w:val="006E152B"/>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4913"/>
    <w:rsid w:val="00785B90"/>
    <w:rsid w:val="0078639C"/>
    <w:rsid w:val="007913D3"/>
    <w:rsid w:val="0079790C"/>
    <w:rsid w:val="007A102A"/>
    <w:rsid w:val="007A15E6"/>
    <w:rsid w:val="007A194B"/>
    <w:rsid w:val="007A4BCD"/>
    <w:rsid w:val="007A5714"/>
    <w:rsid w:val="007A5EFA"/>
    <w:rsid w:val="007A6821"/>
    <w:rsid w:val="007A75EF"/>
    <w:rsid w:val="007B03B6"/>
    <w:rsid w:val="007B1257"/>
    <w:rsid w:val="007B33CC"/>
    <w:rsid w:val="007B4133"/>
    <w:rsid w:val="007B49F4"/>
    <w:rsid w:val="007B7AB4"/>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4994"/>
    <w:rsid w:val="007D4BB3"/>
    <w:rsid w:val="007D4F6E"/>
    <w:rsid w:val="007D5ECD"/>
    <w:rsid w:val="007D61CA"/>
    <w:rsid w:val="007D6DCF"/>
    <w:rsid w:val="007D6F0D"/>
    <w:rsid w:val="007D7963"/>
    <w:rsid w:val="007E3532"/>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2F2B"/>
    <w:rsid w:val="00823D9A"/>
    <w:rsid w:val="00827EA4"/>
    <w:rsid w:val="008301D6"/>
    <w:rsid w:val="008305B7"/>
    <w:rsid w:val="00830C78"/>
    <w:rsid w:val="00830FB9"/>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4E05"/>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7312"/>
    <w:rsid w:val="008F297F"/>
    <w:rsid w:val="008F447E"/>
    <w:rsid w:val="00904BA9"/>
    <w:rsid w:val="00904E7E"/>
    <w:rsid w:val="0091086B"/>
    <w:rsid w:val="00911129"/>
    <w:rsid w:val="00912EA3"/>
    <w:rsid w:val="00914B6E"/>
    <w:rsid w:val="009156A2"/>
    <w:rsid w:val="0091579A"/>
    <w:rsid w:val="0091615D"/>
    <w:rsid w:val="00923F7E"/>
    <w:rsid w:val="00924C96"/>
    <w:rsid w:val="00925030"/>
    <w:rsid w:val="00925B32"/>
    <w:rsid w:val="00930A64"/>
    <w:rsid w:val="00930BE5"/>
    <w:rsid w:val="00931403"/>
    <w:rsid w:val="00934991"/>
    <w:rsid w:val="009351A7"/>
    <w:rsid w:val="009426B9"/>
    <w:rsid w:val="00944E85"/>
    <w:rsid w:val="0094634C"/>
    <w:rsid w:val="009463AB"/>
    <w:rsid w:val="00950239"/>
    <w:rsid w:val="00950332"/>
    <w:rsid w:val="00955899"/>
    <w:rsid w:val="00955A03"/>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2D2"/>
    <w:rsid w:val="009B2839"/>
    <w:rsid w:val="009B4C17"/>
    <w:rsid w:val="009B5BF6"/>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20A2"/>
    <w:rsid w:val="00A0297B"/>
    <w:rsid w:val="00A0358E"/>
    <w:rsid w:val="00A049F9"/>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40311"/>
    <w:rsid w:val="00A41032"/>
    <w:rsid w:val="00A4106C"/>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301B1"/>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6AF9"/>
    <w:rsid w:val="00B8115B"/>
    <w:rsid w:val="00B81AE2"/>
    <w:rsid w:val="00B82D30"/>
    <w:rsid w:val="00B87F62"/>
    <w:rsid w:val="00B914A4"/>
    <w:rsid w:val="00B92497"/>
    <w:rsid w:val="00B92D41"/>
    <w:rsid w:val="00B93679"/>
    <w:rsid w:val="00B9422D"/>
    <w:rsid w:val="00B95A1D"/>
    <w:rsid w:val="00B9634B"/>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DA5"/>
    <w:rsid w:val="00C050FC"/>
    <w:rsid w:val="00C05D40"/>
    <w:rsid w:val="00C11905"/>
    <w:rsid w:val="00C14462"/>
    <w:rsid w:val="00C16542"/>
    <w:rsid w:val="00C22382"/>
    <w:rsid w:val="00C2355B"/>
    <w:rsid w:val="00C274A6"/>
    <w:rsid w:val="00C34201"/>
    <w:rsid w:val="00C35A38"/>
    <w:rsid w:val="00C35EC9"/>
    <w:rsid w:val="00C36807"/>
    <w:rsid w:val="00C37392"/>
    <w:rsid w:val="00C41545"/>
    <w:rsid w:val="00C4209D"/>
    <w:rsid w:val="00C432B3"/>
    <w:rsid w:val="00C4771E"/>
    <w:rsid w:val="00C47D15"/>
    <w:rsid w:val="00C50279"/>
    <w:rsid w:val="00C505EC"/>
    <w:rsid w:val="00C5165A"/>
    <w:rsid w:val="00C52841"/>
    <w:rsid w:val="00C54FC6"/>
    <w:rsid w:val="00C56F88"/>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13A1"/>
    <w:rsid w:val="00C950D6"/>
    <w:rsid w:val="00C97646"/>
    <w:rsid w:val="00C97672"/>
    <w:rsid w:val="00CA55BD"/>
    <w:rsid w:val="00CB0837"/>
    <w:rsid w:val="00CB2BFA"/>
    <w:rsid w:val="00CB3888"/>
    <w:rsid w:val="00CB400E"/>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5C14"/>
    <w:rsid w:val="00D16580"/>
    <w:rsid w:val="00D20E20"/>
    <w:rsid w:val="00D21C3A"/>
    <w:rsid w:val="00D228DA"/>
    <w:rsid w:val="00D22E01"/>
    <w:rsid w:val="00D238A5"/>
    <w:rsid w:val="00D24621"/>
    <w:rsid w:val="00D2600F"/>
    <w:rsid w:val="00D30EEA"/>
    <w:rsid w:val="00D31534"/>
    <w:rsid w:val="00D32C1F"/>
    <w:rsid w:val="00D33FC2"/>
    <w:rsid w:val="00D37394"/>
    <w:rsid w:val="00D46699"/>
    <w:rsid w:val="00D47345"/>
    <w:rsid w:val="00D5073F"/>
    <w:rsid w:val="00D51573"/>
    <w:rsid w:val="00D5399A"/>
    <w:rsid w:val="00D5444F"/>
    <w:rsid w:val="00D54E0D"/>
    <w:rsid w:val="00D54F7D"/>
    <w:rsid w:val="00D57528"/>
    <w:rsid w:val="00D602CA"/>
    <w:rsid w:val="00D60DD8"/>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3B2F"/>
    <w:rsid w:val="00DA4731"/>
    <w:rsid w:val="00DA5040"/>
    <w:rsid w:val="00DA7D5F"/>
    <w:rsid w:val="00DB053E"/>
    <w:rsid w:val="00DB11B2"/>
    <w:rsid w:val="00DB161E"/>
    <w:rsid w:val="00DB31B5"/>
    <w:rsid w:val="00DB5BBA"/>
    <w:rsid w:val="00DC03DB"/>
    <w:rsid w:val="00DC1206"/>
    <w:rsid w:val="00DC2BE8"/>
    <w:rsid w:val="00DC2BEC"/>
    <w:rsid w:val="00DC3256"/>
    <w:rsid w:val="00DC35A6"/>
    <w:rsid w:val="00DD090A"/>
    <w:rsid w:val="00DD2421"/>
    <w:rsid w:val="00DD3222"/>
    <w:rsid w:val="00DD3D81"/>
    <w:rsid w:val="00DD571C"/>
    <w:rsid w:val="00DD64E1"/>
    <w:rsid w:val="00DE039A"/>
    <w:rsid w:val="00DE0403"/>
    <w:rsid w:val="00DE4811"/>
    <w:rsid w:val="00DE5458"/>
    <w:rsid w:val="00DE5EE6"/>
    <w:rsid w:val="00DE77EA"/>
    <w:rsid w:val="00DF0ABA"/>
    <w:rsid w:val="00DF1EEE"/>
    <w:rsid w:val="00DF6C58"/>
    <w:rsid w:val="00E001C1"/>
    <w:rsid w:val="00E039F3"/>
    <w:rsid w:val="00E03C30"/>
    <w:rsid w:val="00E078BD"/>
    <w:rsid w:val="00E078F8"/>
    <w:rsid w:val="00E1142B"/>
    <w:rsid w:val="00E11F10"/>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B45"/>
    <w:rsid w:val="00E37BF1"/>
    <w:rsid w:val="00E428B3"/>
    <w:rsid w:val="00E44D19"/>
    <w:rsid w:val="00E44F18"/>
    <w:rsid w:val="00E51372"/>
    <w:rsid w:val="00E51CAF"/>
    <w:rsid w:val="00E51E95"/>
    <w:rsid w:val="00E51F9D"/>
    <w:rsid w:val="00E5202F"/>
    <w:rsid w:val="00E5211A"/>
    <w:rsid w:val="00E53A9F"/>
    <w:rsid w:val="00E53C5D"/>
    <w:rsid w:val="00E549AF"/>
    <w:rsid w:val="00E60540"/>
    <w:rsid w:val="00E61C74"/>
    <w:rsid w:val="00E63D8F"/>
    <w:rsid w:val="00E646F3"/>
    <w:rsid w:val="00E706B6"/>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D30"/>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35B4"/>
    <w:rsid w:val="00EE5643"/>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B2E"/>
    <w:rsid w:val="00F176A0"/>
    <w:rsid w:val="00F20174"/>
    <w:rsid w:val="00F22098"/>
    <w:rsid w:val="00F223BC"/>
    <w:rsid w:val="00F23780"/>
    <w:rsid w:val="00F26185"/>
    <w:rsid w:val="00F3178C"/>
    <w:rsid w:val="00F33DE5"/>
    <w:rsid w:val="00F34B8F"/>
    <w:rsid w:val="00F36D7F"/>
    <w:rsid w:val="00F37186"/>
    <w:rsid w:val="00F42FCF"/>
    <w:rsid w:val="00F44A83"/>
    <w:rsid w:val="00F51743"/>
    <w:rsid w:val="00F529D4"/>
    <w:rsid w:val="00F54F27"/>
    <w:rsid w:val="00F55FC8"/>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E"/>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1EE01AE4"/>
    <w:rsid w:val="30D95F31"/>
    <w:rsid w:val="31EF213F"/>
    <w:rsid w:val="4150677B"/>
    <w:rsid w:val="47633B0E"/>
    <w:rsid w:val="663E09C5"/>
    <w:rsid w:val="6E580005"/>
    <w:rsid w:val="70DB66DA"/>
    <w:rsid w:val="768A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val="en-GB"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semiHidden/>
    <w:qFormat/>
    <w:uiPriority w:val="0"/>
  </w:style>
  <w:style w:type="paragraph" w:styleId="7">
    <w:name w:val="Body Text 3"/>
    <w:basedOn w:val="1"/>
    <w:qFormat/>
    <w:uiPriority w:val="0"/>
    <w:pPr>
      <w:spacing w:after="120"/>
    </w:pPr>
    <w:rPr>
      <w:sz w:val="16"/>
      <w:szCs w:val="16"/>
    </w:rPr>
  </w:style>
  <w:style w:type="paragraph" w:styleId="8">
    <w:name w:val="Body Text"/>
    <w:basedOn w:val="1"/>
    <w:qFormat/>
    <w:uiPriority w:val="0"/>
    <w:pPr>
      <w:ind w:right="56"/>
    </w:pPr>
    <w:rPr>
      <w:b/>
      <w:sz w:val="22"/>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4"/>
    <w:qFormat/>
    <w:uiPriority w:val="99"/>
    <w:pPr>
      <w:tabs>
        <w:tab w:val="center" w:pos="4320"/>
        <w:tab w:val="right" w:pos="8640"/>
      </w:tabs>
    </w:pPr>
  </w:style>
  <w:style w:type="paragraph" w:styleId="14">
    <w:name w:val="header"/>
    <w:basedOn w:val="1"/>
    <w:link w:val="26"/>
    <w:qFormat/>
    <w:uiPriority w:val="0"/>
    <w:pPr>
      <w:tabs>
        <w:tab w:val="center" w:pos="4320"/>
        <w:tab w:val="right" w:pos="8640"/>
      </w:tabs>
    </w:pPr>
  </w:style>
  <w:style w:type="paragraph" w:styleId="15">
    <w:name w:val="toc 1"/>
    <w:basedOn w:val="1"/>
    <w:next w:val="1"/>
    <w:qFormat/>
    <w:uiPriority w:val="39"/>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16">
    <w:name w:val="toc 2"/>
    <w:basedOn w:val="1"/>
    <w:next w:val="1"/>
    <w:qFormat/>
    <w:uiPriority w:val="39"/>
    <w:pPr>
      <w:widowControl w:val="0"/>
      <w:tabs>
        <w:tab w:val="right" w:leader="dot" w:pos="8302"/>
      </w:tabs>
      <w:overflowPunct/>
      <w:autoSpaceDE/>
      <w:autoSpaceDN/>
      <w:adjustRightInd/>
      <w:spacing w:line="360" w:lineRule="auto"/>
      <w:ind w:left="200" w:leftChars="200"/>
      <w:textAlignment w:val="auto"/>
    </w:pPr>
    <w:rPr>
      <w:rFonts w:eastAsia="Times New Roman"/>
      <w:kern w:val="2"/>
      <w:lang w:val="en-US" w:eastAsia="zh-CN"/>
    </w:rPr>
  </w:style>
  <w:style w:type="paragraph" w:styleId="17">
    <w:name w:val="Title"/>
    <w:basedOn w:val="1"/>
    <w:next w:val="1"/>
    <w:link w:val="44"/>
    <w:qFormat/>
    <w:uiPriority w:val="0"/>
    <w:pPr>
      <w:spacing w:before="240" w:after="60"/>
      <w:jc w:val="center"/>
      <w:outlineLvl w:val="0"/>
    </w:pPr>
    <w:rPr>
      <w:rFonts w:ascii="Calibri Light" w:hAnsi="Calibri Light"/>
      <w:b/>
      <w:bCs/>
      <w:sz w:val="32"/>
      <w:szCs w:val="32"/>
    </w:rPr>
  </w:style>
  <w:style w:type="paragraph" w:styleId="18">
    <w:name w:val="annotation subject"/>
    <w:basedOn w:val="6"/>
    <w:next w:val="6"/>
    <w:semiHidden/>
    <w:qFormat/>
    <w:uiPriority w:val="0"/>
    <w:rPr>
      <w:b/>
      <w:bCs/>
    </w:rPr>
  </w:style>
  <w:style w:type="table" w:styleId="20">
    <w:name w:val="Table Grid"/>
    <w:basedOn w:val="19"/>
    <w:qFormat/>
    <w:uiPriority w:val="5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semiHidden/>
    <w:qFormat/>
    <w:uiPriority w:val="0"/>
    <w:rPr>
      <w:sz w:val="21"/>
      <w:szCs w:val="21"/>
    </w:rPr>
  </w:style>
  <w:style w:type="paragraph" w:customStyle="1" w:styleId="25">
    <w:name w:val="Table"/>
    <w:basedOn w:val="1"/>
    <w:qFormat/>
    <w:uiPriority w:val="0"/>
    <w:pPr>
      <w:keepLines/>
      <w:tabs>
        <w:tab w:val="left" w:pos="284"/>
      </w:tabs>
      <w:overflowPunct/>
      <w:autoSpaceDE/>
      <w:autoSpaceDN/>
      <w:adjustRightInd/>
      <w:spacing w:before="40" w:after="20"/>
      <w:textAlignment w:val="auto"/>
    </w:pPr>
    <w:rPr>
      <w:rFonts w:ascii="Arial" w:hAnsi="Arial"/>
      <w:sz w:val="20"/>
      <w:lang w:val="en-US"/>
    </w:rPr>
  </w:style>
  <w:style w:type="character" w:customStyle="1" w:styleId="26">
    <w:name w:val="页眉 字符"/>
    <w:link w:val="14"/>
    <w:qFormat/>
    <w:uiPriority w:val="0"/>
    <w:rPr>
      <w:rFonts w:eastAsia="宋体"/>
      <w:sz w:val="24"/>
      <w:lang w:val="en-GB" w:eastAsia="en-US" w:bidi="ar-SA"/>
    </w:rPr>
  </w:style>
  <w:style w:type="paragraph" w:customStyle="1" w:styleId="27">
    <w:name w:val="Default Text"/>
    <w:basedOn w:val="1"/>
    <w:qFormat/>
    <w:uiPriority w:val="0"/>
    <w:pPr>
      <w:overflowPunct/>
      <w:textAlignment w:val="auto"/>
    </w:pPr>
    <w:rPr>
      <w:rFonts w:ascii="Arial" w:hAnsi="Arial"/>
      <w:szCs w:val="24"/>
      <w:lang w:val="en-US"/>
    </w:rPr>
  </w:style>
  <w:style w:type="paragraph" w:customStyle="1" w:styleId="28">
    <w:name w:val="Style"/>
    <w:basedOn w:val="1"/>
    <w:qFormat/>
    <w:uiPriority w:val="0"/>
    <w:pPr>
      <w:overflowPunct/>
      <w:textAlignment w:val="auto"/>
    </w:pPr>
    <w:rPr>
      <w:rFonts w:ascii="Arial" w:hAnsi="Arial"/>
      <w:szCs w:val="24"/>
      <w:lang w:val="en-US"/>
    </w:rPr>
  </w:style>
  <w:style w:type="paragraph" w:customStyle="1" w:styleId="29">
    <w:name w:val="正文1"/>
    <w:basedOn w:val="1"/>
    <w:qFormat/>
    <w:uiPriority w:val="0"/>
    <w:pPr>
      <w:overflowPunct/>
      <w:textAlignment w:val="auto"/>
    </w:pPr>
    <w:rPr>
      <w:rFonts w:ascii="Arial" w:hAnsi="Arial"/>
      <w:sz w:val="20"/>
      <w:lang w:val="en-US"/>
    </w:rPr>
  </w:style>
  <w:style w:type="paragraph" w:customStyle="1" w:styleId="30">
    <w:name w:val="修订1"/>
    <w:hidden/>
    <w:semiHidden/>
    <w:qFormat/>
    <w:uiPriority w:val="99"/>
    <w:rPr>
      <w:rFonts w:ascii="Times New Roman" w:hAnsi="Times New Roman" w:eastAsia="宋体" w:cs="Times New Roman"/>
      <w:sz w:val="24"/>
      <w:lang w:val="en-GB" w:eastAsia="en-US" w:bidi="ar-SA"/>
    </w:rPr>
  </w:style>
  <w:style w:type="paragraph" w:styleId="31">
    <w:name w:val="List Paragraph"/>
    <w:basedOn w:val="1"/>
    <w:qFormat/>
    <w:uiPriority w:val="34"/>
    <w:pPr>
      <w:spacing w:line="276" w:lineRule="auto"/>
      <w:jc w:val="both"/>
    </w:pPr>
    <w:rPr>
      <w:color w:val="000000" w:themeColor="text1"/>
      <w:lang w:eastAsia="zh-CN"/>
      <w14:textFill>
        <w14:solidFill>
          <w14:schemeClr w14:val="tx1"/>
        </w14:solidFill>
      </w14:textFill>
    </w:rPr>
  </w:style>
  <w:style w:type="character" w:customStyle="1" w:styleId="32">
    <w:name w:val="批注文字 字符"/>
    <w:link w:val="6"/>
    <w:semiHidden/>
    <w:qFormat/>
    <w:uiPriority w:val="0"/>
    <w:rPr>
      <w:sz w:val="24"/>
      <w:lang w:val="en-GB" w:eastAsia="en-US"/>
    </w:rPr>
  </w:style>
  <w:style w:type="paragraph" w:customStyle="1" w:styleId="33">
    <w:name w:val="TOC 标题1"/>
    <w:basedOn w:val="2"/>
    <w:next w:val="1"/>
    <w:qFormat/>
    <w:uiPriority w:val="39"/>
    <w:pPr>
      <w:numPr>
        <w:numId w:val="0"/>
      </w:numPr>
      <w:outlineLvl w:val="9"/>
    </w:pPr>
  </w:style>
  <w:style w:type="character" w:customStyle="1" w:styleId="34">
    <w:name w:val="页脚 字符"/>
    <w:link w:val="13"/>
    <w:qFormat/>
    <w:uiPriority w:val="99"/>
    <w:rPr>
      <w:sz w:val="24"/>
      <w:lang w:val="en-GB" w:eastAsia="en-US"/>
    </w:rPr>
  </w:style>
  <w:style w:type="character" w:customStyle="1" w:styleId="35">
    <w:name w:val="instruction standard blue"/>
    <w:qFormat/>
    <w:uiPriority w:val="1"/>
    <w:rPr>
      <w:rFonts w:cs="Arial"/>
      <w:i/>
      <w:color w:val="0070C0"/>
    </w:rPr>
  </w:style>
  <w:style w:type="character" w:customStyle="1" w:styleId="36">
    <w:name w:val="keyword"/>
    <w:basedOn w:val="21"/>
    <w:qFormat/>
    <w:uiPriority w:val="0"/>
  </w:style>
  <w:style w:type="paragraph" w:customStyle="1" w:styleId="37">
    <w:name w:val="numbering blue"/>
    <w:basedOn w:val="1"/>
    <w:link w:val="38"/>
    <w:qFormat/>
    <w:uiPriority w:val="0"/>
    <w:pPr>
      <w:numPr>
        <w:ilvl w:val="0"/>
        <w:numId w:val="2"/>
      </w:numPr>
      <w:overflowPunct/>
      <w:autoSpaceDE/>
      <w:autoSpaceDN/>
      <w:adjustRightInd/>
      <w:spacing w:after="120"/>
      <w:ind w:left="357" w:hanging="357"/>
      <w:contextualSpacing/>
      <w:textAlignment w:val="auto"/>
    </w:pPr>
    <w:rPr>
      <w:rFonts w:ascii="Arial" w:hAnsi="Arial" w:eastAsia="PMingLiU"/>
      <w:color w:val="0070C0"/>
      <w:sz w:val="20"/>
      <w:lang w:eastAsia="zh-TW"/>
    </w:rPr>
  </w:style>
  <w:style w:type="character" w:customStyle="1" w:styleId="38">
    <w:name w:val="numbering blue Zchn"/>
    <w:link w:val="37"/>
    <w:qFormat/>
    <w:uiPriority w:val="0"/>
    <w:rPr>
      <w:rFonts w:ascii="Arial" w:hAnsi="Arial" w:eastAsia="PMingLiU"/>
      <w:color w:val="0070C0"/>
      <w:lang w:eastAsia="zh-TW"/>
    </w:rPr>
  </w:style>
  <w:style w:type="paragraph" w:customStyle="1" w:styleId="39">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character" w:customStyle="1" w:styleId="40">
    <w:name w:val="Text Char"/>
    <w:link w:val="41"/>
    <w:qFormat/>
    <w:locked/>
    <w:uiPriority w:val="0"/>
    <w:rPr>
      <w:sz w:val="24"/>
      <w:lang w:eastAsia="en-US"/>
    </w:rPr>
  </w:style>
  <w:style w:type="paragraph" w:customStyle="1" w:styleId="41">
    <w:name w:val="Text"/>
    <w:basedOn w:val="1"/>
    <w:link w:val="40"/>
    <w:qFormat/>
    <w:uiPriority w:val="0"/>
    <w:pPr>
      <w:overflowPunct/>
      <w:autoSpaceDE/>
      <w:autoSpaceDN/>
      <w:adjustRightInd/>
      <w:spacing w:before="120"/>
      <w:jc w:val="both"/>
      <w:textAlignment w:val="auto"/>
    </w:pPr>
    <w:rPr>
      <w:lang w:val="en-US"/>
    </w:rPr>
  </w:style>
  <w:style w:type="character" w:customStyle="1" w:styleId="42">
    <w:name w:val="ordinary-span-edit2"/>
    <w:qFormat/>
    <w:uiPriority w:val="0"/>
  </w:style>
  <w:style w:type="character" w:customStyle="1" w:styleId="43">
    <w:name w:val="apple-converted-space"/>
    <w:basedOn w:val="21"/>
    <w:qFormat/>
    <w:uiPriority w:val="0"/>
  </w:style>
  <w:style w:type="character" w:customStyle="1" w:styleId="44">
    <w:name w:val="标题 字符"/>
    <w:link w:val="17"/>
    <w:qFormat/>
    <w:uiPriority w:val="0"/>
    <w:rPr>
      <w:rFonts w:ascii="Calibri Light" w:hAnsi="Calibri Light" w:cs="Times New Roman"/>
      <w:b/>
      <w:bCs/>
      <w:sz w:val="32"/>
      <w:szCs w:val="32"/>
      <w:lang w:val="en-GB" w:eastAsia="en-US"/>
    </w:rPr>
  </w:style>
  <w:style w:type="paragraph" w:customStyle="1" w:styleId="45">
    <w:name w:val="Table text"/>
    <w:basedOn w:val="1"/>
    <w:qFormat/>
    <w:uiPriority w:val="0"/>
    <w:pPr>
      <w:overflowPunct/>
      <w:autoSpaceDE/>
      <w:autoSpaceDN/>
      <w:adjustRightInd/>
      <w:ind w:right="34" w:rightChars="16"/>
      <w:jc w:val="center"/>
      <w:textAlignment w:val="auto"/>
    </w:pPr>
    <w:rPr>
      <w:lang w:val="en-US"/>
    </w:rPr>
  </w:style>
  <w:style w:type="character" w:customStyle="1" w:styleId="46">
    <w:name w:val="Footer Char"/>
    <w:basedOn w:val="21"/>
    <w:semiHidden/>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55C17-7D43-4D9E-866A-B6E8F6CF94ED}">
  <ds:schemaRefs/>
</ds:datastoreItem>
</file>

<file path=docProps/app.xml><?xml version="1.0" encoding="utf-8"?>
<Properties xmlns="http://schemas.openxmlformats.org/officeDocument/2006/extended-properties" xmlns:vt="http://schemas.openxmlformats.org/officeDocument/2006/docPropsVTypes">
  <Template>Normal</Template>
  <Pages>12</Pages>
  <Words>4171</Words>
  <Characters>4435</Characters>
  <Lines>41</Lines>
  <Paragraphs>11</Paragraphs>
  <TotalTime>3</TotalTime>
  <ScaleCrop>false</ScaleCrop>
  <LinksUpToDate>false</LinksUpToDate>
  <CharactersWithSpaces>4495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2025-07-16T02:14:00Z</dcterms:created>
  <dc:creator>Lilly</dc:creator>
  <cp:lastModifiedBy>汪洋</cp:lastModifiedBy>
  <cp:lastPrinted>2025-07-18T01:08:00Z</cp:lastPrinted>
  <dcterms:modified xsi:type="dcterms:W3CDTF">2025-07-22T01:01:00Z</dcterms:modified>
  <dc:title>生效期：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67A63B4BB2D64801BD755596F5D1AB37_13</vt:lpwstr>
  </property>
  <property fmtid="{D5CDD505-2E9C-101B-9397-08002B2CF9AE}" pid="4" name="KSOTemplateDocerSaveRecord">
    <vt:lpwstr>eyJoZGlkIjoiYWE0YzViNmE3NGI2M2U0ZmIxN2Y4NGQyNzU4NzVkYjMiLCJ1c2VySWQiOiIyMTEyMDkxOTIifQ==</vt:lpwstr>
  </property>
</Properties>
</file>